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8C0F" w14:textId="77777777" w:rsidR="001C208D" w:rsidRPr="00125257" w:rsidRDefault="001C208D" w:rsidP="001C208D">
      <w:pPr>
        <w:spacing w:after="0" w:line="240" w:lineRule="auto"/>
        <w:jc w:val="center"/>
        <w:rPr>
          <w:rFonts w:cs="Calibri"/>
          <w:b/>
          <w:bCs/>
          <w:color w:val="002060"/>
          <w:sz w:val="28"/>
          <w:szCs w:val="28"/>
        </w:rPr>
      </w:pPr>
      <w:r w:rsidRPr="00125257">
        <w:rPr>
          <w:rFonts w:cs="Calibri"/>
          <w:b/>
          <w:bCs/>
          <w:color w:val="002060"/>
          <w:sz w:val="28"/>
          <w:szCs w:val="28"/>
        </w:rPr>
        <w:t>Key reading for critical companionship in strategic, enabling leadership</w:t>
      </w:r>
    </w:p>
    <w:p w14:paraId="534D7B18" w14:textId="77777777" w:rsidR="00125257" w:rsidRDefault="00125257" w:rsidP="00125257">
      <w:pPr>
        <w:autoSpaceDE w:val="0"/>
        <w:adjustRightInd w:val="0"/>
        <w:spacing w:after="0" w:line="240" w:lineRule="auto"/>
        <w:rPr>
          <w:color w:val="000000"/>
        </w:rPr>
      </w:pPr>
    </w:p>
    <w:p w14:paraId="1A2A31E7" w14:textId="45546FB0" w:rsidR="00125257" w:rsidRDefault="00125257" w:rsidP="00125257">
      <w:pPr>
        <w:autoSpaceDE w:val="0"/>
        <w:adjustRightInd w:val="0"/>
        <w:spacing w:after="0" w:line="240" w:lineRule="auto"/>
      </w:pPr>
      <w:r>
        <w:rPr>
          <w:color w:val="000000"/>
        </w:rPr>
        <w:t xml:space="preserve">Cardiff, S; McCormack, B; McCance, T. (2018) </w:t>
      </w:r>
      <w:r>
        <w:t xml:space="preserve">Person-centred leadership: A relational approach to leadership derived through action research Journal of Clinical Nursing 27, pp3056–3069 </w:t>
      </w:r>
    </w:p>
    <w:p w14:paraId="5FC9371E" w14:textId="77777777" w:rsidR="00125257" w:rsidRDefault="00125257" w:rsidP="00125257">
      <w:pPr>
        <w:autoSpaceDE w:val="0"/>
        <w:adjustRightInd w:val="0"/>
        <w:spacing w:after="0" w:line="240" w:lineRule="auto"/>
      </w:pPr>
      <w:r>
        <w:t>(DOI: 10.1111/jocn.14492)</w:t>
      </w:r>
    </w:p>
    <w:p w14:paraId="0C0D39FC" w14:textId="77777777" w:rsidR="00125257" w:rsidRDefault="00125257" w:rsidP="00125257">
      <w:pPr>
        <w:autoSpaceDE w:val="0"/>
        <w:adjustRightInd w:val="0"/>
        <w:spacing w:after="0" w:line="240" w:lineRule="auto"/>
        <w:rPr>
          <w:color w:val="000000"/>
        </w:rPr>
      </w:pPr>
    </w:p>
    <w:p w14:paraId="7276426C" w14:textId="77777777" w:rsidR="00125257" w:rsidRPr="00C15006" w:rsidRDefault="00125257" w:rsidP="00125257">
      <w:pPr>
        <w:adjustRightInd w:val="0"/>
        <w:rPr>
          <w:rFonts w:asciiTheme="minorHAnsi" w:hAnsiTheme="minorHAnsi" w:cstheme="minorHAnsi"/>
          <w:u w:val="single"/>
        </w:rPr>
      </w:pPr>
      <w:r w:rsidRPr="00C25DDB">
        <w:rPr>
          <w:rFonts w:cs="Calibri"/>
          <w:bCs/>
        </w:rPr>
        <w:t xml:space="preserve">Hardiman M and Dewing J ( 2015) Critical Ally and Critical Friend: stepping stones to facilitating practice </w:t>
      </w:r>
      <w:r w:rsidRPr="00C25DDB">
        <w:rPr>
          <w:rFonts w:cs="Calibri"/>
          <w:bCs/>
          <w:i/>
        </w:rPr>
        <w:t xml:space="preserve">development  </w:t>
      </w:r>
      <w:r w:rsidRPr="00C25DDB">
        <w:rPr>
          <w:rFonts w:cs="Calibri"/>
          <w:i/>
        </w:rPr>
        <w:t>International Practice Development Journal</w:t>
      </w:r>
      <w:r w:rsidRPr="00C25DDB">
        <w:rPr>
          <w:rFonts w:cs="Calibri"/>
        </w:rPr>
        <w:t xml:space="preserve"> 4 (1) [3] </w:t>
      </w:r>
      <w:hyperlink r:id="rId5" w:history="1">
        <w:r w:rsidRPr="00C15006">
          <w:rPr>
            <w:rFonts w:asciiTheme="minorHAnsi" w:hAnsiTheme="minorHAnsi" w:cstheme="minorHAnsi"/>
            <w:u w:val="single"/>
          </w:rPr>
          <w:t>http://www.fons.org/library/journal/volume4-issue1/article3</w:t>
        </w:r>
      </w:hyperlink>
    </w:p>
    <w:p w14:paraId="4BC32D0E" w14:textId="11B3727F" w:rsidR="00C15006" w:rsidRPr="00C15006" w:rsidRDefault="00C15006" w:rsidP="00125257">
      <w:pPr>
        <w:rPr>
          <w:rFonts w:asciiTheme="minorHAnsi" w:eastAsiaTheme="minorHAnsi" w:hAnsiTheme="minorHAnsi" w:cstheme="minorHAnsi"/>
          <w:color w:val="000000" w:themeColor="text1"/>
        </w:rPr>
      </w:pPr>
      <w:r w:rsidRPr="00C15006">
        <w:rPr>
          <w:rFonts w:asciiTheme="minorHAnsi" w:eastAsiaTheme="minorHAnsi" w:hAnsiTheme="minorHAnsi" w:cstheme="minorHAnsi"/>
          <w:color w:val="000000" w:themeColor="text1"/>
        </w:rPr>
        <w:t xml:space="preserve">Manley, K., Martin, A. Jackson, C.et al. (2016). Using systems thinking to identify workforce enablers for a whole systems approach to urgent and emergency care delivery: A multiple case study. </w:t>
      </w:r>
      <w:r w:rsidRPr="00C15006">
        <w:rPr>
          <w:rFonts w:asciiTheme="minorHAnsi" w:eastAsiaTheme="minorHAnsi" w:hAnsiTheme="minorHAnsi" w:cstheme="minorHAnsi"/>
          <w:i/>
          <w:iCs/>
          <w:color w:val="000000" w:themeColor="text1"/>
        </w:rPr>
        <w:t>BMC Health Services Research</w:t>
      </w:r>
      <w:r w:rsidRPr="00C15006">
        <w:rPr>
          <w:rFonts w:asciiTheme="minorHAnsi" w:eastAsiaTheme="minorHAnsi" w:hAnsiTheme="minorHAnsi" w:cstheme="minorHAnsi"/>
          <w:color w:val="000000" w:themeColor="text1"/>
        </w:rPr>
        <w:t>. 16. 368. 10.1186/s12913-016-1616-y.</w:t>
      </w:r>
    </w:p>
    <w:p w14:paraId="45B7DAC9" w14:textId="32002CCB" w:rsidR="00C15006" w:rsidRPr="00C15006" w:rsidRDefault="00C15006" w:rsidP="00125257">
      <w:pPr>
        <w:rPr>
          <w:rFonts w:asciiTheme="minorHAnsi" w:hAnsiTheme="minorHAnsi" w:cstheme="minorHAnsi"/>
        </w:rPr>
      </w:pPr>
      <w:r w:rsidRPr="00C15006">
        <w:rPr>
          <w:rFonts w:asciiTheme="minorHAnsi" w:eastAsiaTheme="minorHAnsi" w:hAnsiTheme="minorHAnsi" w:cstheme="minorHAnsi"/>
          <w:color w:val="000000"/>
        </w:rPr>
        <w:t xml:space="preserve">Manley K; </w:t>
      </w:r>
      <w:proofErr w:type="spellStart"/>
      <w:r w:rsidRPr="00C15006">
        <w:rPr>
          <w:rFonts w:asciiTheme="minorHAnsi" w:eastAsiaTheme="minorHAnsi" w:hAnsiTheme="minorHAnsi" w:cstheme="minorHAnsi"/>
          <w:color w:val="000000"/>
        </w:rPr>
        <w:t>Titchen</w:t>
      </w:r>
      <w:proofErr w:type="spellEnd"/>
      <w:r w:rsidRPr="00C15006">
        <w:rPr>
          <w:rFonts w:asciiTheme="minorHAnsi" w:eastAsiaTheme="minorHAnsi" w:hAnsiTheme="minorHAnsi" w:cstheme="minorHAnsi"/>
          <w:color w:val="000000"/>
        </w:rPr>
        <w:t xml:space="preserve"> A (2016)</w:t>
      </w:r>
      <w:r w:rsidRPr="00C15006">
        <w:rPr>
          <w:rFonts w:asciiTheme="minorHAnsi" w:eastAsiaTheme="minorHAnsi" w:hAnsiTheme="minorHAnsi" w:cstheme="minorHAnsi"/>
          <w:color w:val="202020"/>
        </w:rPr>
        <w:t xml:space="preserve"> Facilitation Skills – The Catalyst For Increased Effectiveness In Consultant Practice And Clinical Systems Leadership</w:t>
      </w:r>
      <w:r w:rsidRPr="00C15006">
        <w:rPr>
          <w:rFonts w:asciiTheme="minorHAnsi" w:eastAsiaTheme="minorHAnsi" w:hAnsiTheme="minorHAnsi" w:cstheme="minorHAnsi"/>
          <w:i/>
          <w:iCs/>
          <w:color w:val="000000"/>
        </w:rPr>
        <w:t xml:space="preserve"> Educational Action Research </w:t>
      </w:r>
      <w:r w:rsidRPr="00C15006">
        <w:rPr>
          <w:rFonts w:asciiTheme="minorHAnsi" w:eastAsiaTheme="minorHAnsi" w:hAnsiTheme="minorHAnsi" w:cstheme="minorHAnsi"/>
          <w:color w:val="000000"/>
        </w:rPr>
        <w:t xml:space="preserve">24(2) 1-24  </w:t>
      </w:r>
      <w:r w:rsidRPr="00C15006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  <w:hyperlink r:id="rId6" w:history="1">
        <w:r w:rsidRPr="00C15006">
          <w:rPr>
            <w:rFonts w:asciiTheme="minorHAnsi" w:eastAsiaTheme="minorHAnsi" w:hAnsiTheme="minorHAnsi" w:cstheme="minorHAnsi"/>
            <w:color w:val="094FD1"/>
            <w:u w:val="single" w:color="094FD1"/>
          </w:rPr>
          <w:t>https://www.tandfonline.com/doi/full/10.1080/09650792.2016.1158118</w:t>
        </w:r>
      </w:hyperlink>
    </w:p>
    <w:p w14:paraId="1B649F3C" w14:textId="658D5777" w:rsidR="00C15006" w:rsidRDefault="00C15006" w:rsidP="00C150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eastAsiaTheme="minorHAnsi" w:hAnsiTheme="minorHAnsi" w:cstheme="minorHAnsi"/>
          <w:color w:val="151617"/>
        </w:rPr>
      </w:pPr>
      <w:r w:rsidRPr="00C15006">
        <w:rPr>
          <w:rFonts w:asciiTheme="minorHAnsi" w:eastAsiaTheme="minorHAnsi" w:hAnsiTheme="minorHAnsi" w:cstheme="minorHAnsi"/>
          <w:color w:val="151617"/>
        </w:rPr>
        <w:t xml:space="preserve">Manley, K. &amp; Jackson C. (2020) The Venus model for integrating practitioner‐led workforce transformation and complex change across the health care system.  </w:t>
      </w:r>
      <w:r w:rsidRPr="00C15006">
        <w:rPr>
          <w:rFonts w:asciiTheme="minorHAnsi" w:eastAsiaTheme="minorHAnsi" w:hAnsiTheme="minorHAnsi" w:cstheme="minorHAnsi"/>
          <w:i/>
          <w:iCs/>
          <w:color w:val="151617"/>
        </w:rPr>
        <w:t>Journal of Evaluation in Clinical Practice- International Journal of Public Health Policy and Health Services Research</w:t>
      </w:r>
      <w:r w:rsidRPr="00C15006">
        <w:rPr>
          <w:rFonts w:asciiTheme="minorHAnsi" w:eastAsiaTheme="minorHAnsi" w:hAnsiTheme="minorHAnsi" w:cstheme="minorHAnsi"/>
          <w:color w:val="151617"/>
        </w:rPr>
        <w:t xml:space="preserve">, 20 January, </w:t>
      </w:r>
      <w:hyperlink r:id="rId7" w:history="1">
        <w:r w:rsidRPr="00C15006">
          <w:rPr>
            <w:rFonts w:asciiTheme="minorHAnsi" w:eastAsiaTheme="minorHAnsi" w:hAnsiTheme="minorHAnsi" w:cstheme="minorHAnsi"/>
            <w:color w:val="094FD1"/>
            <w:u w:val="single" w:color="094FD1"/>
          </w:rPr>
          <w:t>https://doi.org/10.1111/jep.13377</w:t>
        </w:r>
      </w:hyperlink>
    </w:p>
    <w:p w14:paraId="02C4F64F" w14:textId="77777777" w:rsidR="00C15006" w:rsidRPr="00C15006" w:rsidRDefault="00C15006" w:rsidP="00C150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7F48DFD3" w14:textId="2C3C2BAF" w:rsidR="00125257" w:rsidRPr="00607D4A" w:rsidRDefault="00125257" w:rsidP="00125257">
      <w:pPr>
        <w:rPr>
          <w:rFonts w:cs="Calibri"/>
        </w:rPr>
      </w:pPr>
      <w:r w:rsidRPr="00C15006">
        <w:rPr>
          <w:rFonts w:asciiTheme="minorHAnsi" w:hAnsiTheme="minorHAnsi" w:cstheme="minorHAnsi"/>
        </w:rPr>
        <w:t xml:space="preserve">McKellar D; Stanley H; Manley K; Moore S; Lloyd T; Hardwick C; </w:t>
      </w:r>
      <w:proofErr w:type="spellStart"/>
      <w:r w:rsidRPr="00C15006">
        <w:rPr>
          <w:rFonts w:asciiTheme="minorHAnsi" w:hAnsiTheme="minorHAnsi" w:cstheme="minorHAnsi"/>
        </w:rPr>
        <w:t>Ronder</w:t>
      </w:r>
      <w:proofErr w:type="spellEnd"/>
      <w:r w:rsidRPr="00C15006">
        <w:rPr>
          <w:rFonts w:asciiTheme="minorHAnsi" w:hAnsiTheme="minorHAnsi" w:cstheme="minorHAnsi"/>
        </w:rPr>
        <w:t xml:space="preserve"> J (2021) From Fractured to</w:t>
      </w:r>
      <w:r w:rsidRPr="00607D4A">
        <w:rPr>
          <w:rFonts w:cs="Calibri"/>
        </w:rPr>
        <w:t xml:space="preserve"> Flourishing: Developing Clinical Leadership for Frontline Culture Change </w:t>
      </w:r>
      <w:proofErr w:type="gramStart"/>
      <w:r w:rsidRPr="00607D4A">
        <w:rPr>
          <w:rFonts w:cs="Calibri"/>
        </w:rPr>
        <w:t>( (</w:t>
      </w:r>
      <w:proofErr w:type="spellStart"/>
      <w:proofErr w:type="gramEnd"/>
      <w:r w:rsidRPr="00607D4A">
        <w:rPr>
          <w:rFonts w:cs="Calibri"/>
        </w:rPr>
        <w:t>ch</w:t>
      </w:r>
      <w:proofErr w:type="spellEnd"/>
      <w:r w:rsidRPr="00607D4A">
        <w:rPr>
          <w:rFonts w:cs="Calibri"/>
        </w:rPr>
        <w:t xml:space="preserve"> 13</w:t>
      </w:r>
      <w:r w:rsidRPr="00607D4A">
        <w:rPr>
          <w:rFonts w:cs="Calibri"/>
          <w:i/>
          <w:iCs/>
        </w:rPr>
        <w:t xml:space="preserve"> In</w:t>
      </w:r>
      <w:r w:rsidRPr="00607D4A">
        <w:rPr>
          <w:rFonts w:cs="Calibri"/>
          <w:b/>
          <w:bCs/>
          <w:i/>
          <w:iCs/>
        </w:rPr>
        <w:t xml:space="preserve">: </w:t>
      </w:r>
      <w:r w:rsidRPr="00607D4A">
        <w:rPr>
          <w:rFonts w:cs="Calibri"/>
          <w:color w:val="000000"/>
        </w:rPr>
        <w:t>Manley, K.</w:t>
      </w:r>
      <w:r w:rsidRPr="00607D4A">
        <w:rPr>
          <w:rFonts w:cs="Calibri"/>
          <w:b/>
          <w:bCs/>
          <w:color w:val="000000"/>
        </w:rPr>
        <w:t xml:space="preserve">  </w:t>
      </w:r>
      <w:proofErr w:type="spellStart"/>
      <w:proofErr w:type="gramStart"/>
      <w:r w:rsidRPr="00607D4A">
        <w:rPr>
          <w:rFonts w:cs="Calibri"/>
          <w:color w:val="000000"/>
        </w:rPr>
        <w:t>Wilson,V</w:t>
      </w:r>
      <w:proofErr w:type="spellEnd"/>
      <w:r w:rsidRPr="00607D4A">
        <w:rPr>
          <w:rFonts w:cs="Calibri"/>
          <w:color w:val="000000"/>
        </w:rPr>
        <w:t>.</w:t>
      </w:r>
      <w:proofErr w:type="gramEnd"/>
      <w:r w:rsidRPr="00607D4A">
        <w:rPr>
          <w:rFonts w:cs="Calibri"/>
          <w:color w:val="000000"/>
        </w:rPr>
        <w:t xml:space="preserve">, Oye C. (Eds) </w:t>
      </w:r>
      <w:r w:rsidRPr="00607D4A">
        <w:rPr>
          <w:rFonts w:cs="Calibri"/>
        </w:rPr>
        <w:t xml:space="preserve">International Practice Development </w:t>
      </w:r>
      <w:r w:rsidRPr="00607D4A">
        <w:rPr>
          <w:rFonts w:cs="Calibri"/>
          <w:color w:val="000000"/>
        </w:rPr>
        <w:t xml:space="preserve">in Health and Social care. </w:t>
      </w:r>
      <w:r w:rsidRPr="00607D4A">
        <w:rPr>
          <w:rFonts w:cs="Calibri"/>
        </w:rPr>
        <w:t>Wiley Press. Oxford) pp173-186)</w:t>
      </w:r>
    </w:p>
    <w:p w14:paraId="49CAE5EE" w14:textId="6B2DA9BB" w:rsidR="00125257" w:rsidRDefault="00125257" w:rsidP="00125257">
      <w:pPr>
        <w:autoSpaceDE w:val="0"/>
        <w:adjustRightInd w:val="0"/>
        <w:spacing w:after="0" w:line="240" w:lineRule="auto"/>
        <w:rPr>
          <w:rFonts w:cs="Calibri"/>
        </w:rPr>
      </w:pPr>
      <w:r w:rsidRPr="00C25DDB">
        <w:t>Middleton R; Cardiff S; Manley, K; Dewar B (2021) Leadership Relationships (</w:t>
      </w:r>
      <w:proofErr w:type="spellStart"/>
      <w:r w:rsidRPr="00C25DDB">
        <w:t>ch</w:t>
      </w:r>
      <w:proofErr w:type="spellEnd"/>
      <w:r w:rsidRPr="00C25DDB">
        <w:t xml:space="preserve"> 12) </w:t>
      </w:r>
      <w:r w:rsidRPr="00C25DDB">
        <w:rPr>
          <w:i/>
          <w:iCs/>
        </w:rPr>
        <w:t xml:space="preserve">In: </w:t>
      </w:r>
      <w:r w:rsidRPr="00C25DDB">
        <w:rPr>
          <w:color w:val="000000"/>
        </w:rPr>
        <w:t>Manley, K.,</w:t>
      </w:r>
      <w:r w:rsidRPr="00C25DDB">
        <w:rPr>
          <w:b/>
          <w:bCs/>
          <w:color w:val="000000"/>
        </w:rPr>
        <w:t xml:space="preserve"> </w:t>
      </w:r>
      <w:proofErr w:type="spellStart"/>
      <w:proofErr w:type="gramStart"/>
      <w:r w:rsidRPr="00C25DDB">
        <w:rPr>
          <w:color w:val="000000"/>
        </w:rPr>
        <w:t>Wilson,V</w:t>
      </w:r>
      <w:proofErr w:type="spellEnd"/>
      <w:r w:rsidRPr="00C25DDB">
        <w:rPr>
          <w:color w:val="000000"/>
        </w:rPr>
        <w:t>.</w:t>
      </w:r>
      <w:proofErr w:type="gramEnd"/>
      <w:r w:rsidRPr="00C25DDB">
        <w:rPr>
          <w:color w:val="000000"/>
        </w:rPr>
        <w:t xml:space="preserve">,  Oye C. (Eds) </w:t>
      </w:r>
      <w:r w:rsidRPr="00C25DDB">
        <w:t xml:space="preserve">International Practice Development </w:t>
      </w:r>
      <w:r w:rsidRPr="00C25DDB">
        <w:rPr>
          <w:color w:val="000000"/>
        </w:rPr>
        <w:t xml:space="preserve">in Health and Social care. </w:t>
      </w:r>
      <w:r w:rsidRPr="00C25DDB">
        <w:t>Wiley Press. Oxford pp159-172</w:t>
      </w:r>
      <w:r w:rsidRPr="00C25DDB">
        <w:rPr>
          <w:rFonts w:cs="Calibri"/>
        </w:rPr>
        <w:t xml:space="preserve"> </w:t>
      </w:r>
    </w:p>
    <w:p w14:paraId="6B6AF593" w14:textId="77777777" w:rsidR="00125257" w:rsidRDefault="00125257" w:rsidP="00125257">
      <w:pPr>
        <w:autoSpaceDE w:val="0"/>
        <w:adjustRightInd w:val="0"/>
        <w:spacing w:after="0" w:line="240" w:lineRule="auto"/>
        <w:rPr>
          <w:rFonts w:cs="Calibri"/>
        </w:rPr>
      </w:pPr>
    </w:p>
    <w:p w14:paraId="467CD104" w14:textId="77777777" w:rsidR="00125257" w:rsidRPr="00C338A3" w:rsidRDefault="00125257" w:rsidP="00125257">
      <w:pPr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cs="Calibri"/>
          <w:color w:val="000000"/>
        </w:rPr>
        <w:t>Plsek</w:t>
      </w:r>
      <w:proofErr w:type="spellEnd"/>
      <w:r>
        <w:rPr>
          <w:rFonts w:cs="Calibri"/>
          <w:color w:val="000000"/>
        </w:rPr>
        <w:t xml:space="preserve">, P. Structures, Processes and Patterns: Key to Understanding and Transforming Whole Systems. </w:t>
      </w:r>
      <w:hyperlink r:id="rId8" w:history="1">
        <w:r w:rsidRPr="002D7A2E">
          <w:rPr>
            <w:rStyle w:val="Hyperlink"/>
            <w:rFonts w:cs="Calibri"/>
          </w:rPr>
          <w:t>http://www.directedcreativity.com/pages/PatternsOnePage.pdf</w:t>
        </w:r>
      </w:hyperlink>
      <w:r>
        <w:rPr>
          <w:rFonts w:cs="Calibri"/>
          <w:color w:val="000000"/>
        </w:rPr>
        <w:t xml:space="preserve"> (Accessed 9/11/24)</w:t>
      </w:r>
    </w:p>
    <w:p w14:paraId="1FD1FCFB" w14:textId="5E5783A2" w:rsidR="000E12A1" w:rsidRPr="000E12A1" w:rsidRDefault="00016319" w:rsidP="00016319">
      <w:pPr>
        <w:rPr>
          <w:rStyle w:val="Strong"/>
          <w:color w:val="0563C1" w:themeColor="hyperlink"/>
          <w:u w:val="single"/>
        </w:rPr>
      </w:pPr>
      <w:r w:rsidRPr="006A3284">
        <w:t>Sanders K. (2023)</w:t>
      </w:r>
      <w:r w:rsidRPr="006A3284">
        <w:rPr>
          <w:rStyle w:val="Strong"/>
          <w:b w:val="0"/>
          <w:bCs w:val="0"/>
        </w:rPr>
        <w:t xml:space="preserve"> ‘Muchness’ as the subjective experience of wellbeing: sharing the findings of a participatory inquiry with nurses, </w:t>
      </w:r>
      <w:r w:rsidRPr="006A3284">
        <w:t>International Practice Development Journal 13 (1) [2]</w:t>
      </w:r>
      <w:r w:rsidRPr="006A3284">
        <w:rPr>
          <w:b/>
          <w:bCs/>
        </w:rPr>
        <w:t xml:space="preserve"> </w:t>
      </w:r>
      <w:hyperlink r:id="rId9" w:history="1">
        <w:r w:rsidRPr="006A3284">
          <w:rPr>
            <w:rStyle w:val="Hyperlink"/>
            <w:b/>
            <w:bCs/>
          </w:rPr>
          <w:t>https://doi.org/10.19043/ipdj.131.002</w:t>
        </w:r>
      </w:hyperlink>
      <w:r w:rsidR="000E12A1">
        <w:rPr>
          <w:rStyle w:val="Hyperlink"/>
          <w:b/>
          <w:bCs/>
        </w:rPr>
        <w:t xml:space="preserve">  </w:t>
      </w:r>
      <w:r w:rsidR="000E12A1">
        <w:rPr>
          <w:rStyle w:val="Strong"/>
          <w:b w:val="0"/>
          <w:bCs w:val="0"/>
        </w:rPr>
        <w:t>(Accessed 9/11/24)</w:t>
      </w:r>
    </w:p>
    <w:p w14:paraId="2E286492" w14:textId="42CB7A88" w:rsidR="00016319" w:rsidRDefault="00016319" w:rsidP="00016319">
      <w:pPr>
        <w:rPr>
          <w:rStyle w:val="Strong"/>
          <w:b w:val="0"/>
          <w:bCs w:val="0"/>
          <w:i/>
          <w:iCs/>
        </w:rPr>
      </w:pPr>
      <w:r>
        <w:rPr>
          <w:rStyle w:val="Strong"/>
          <w:b w:val="0"/>
          <w:bCs w:val="0"/>
          <w:i/>
          <w:iCs/>
        </w:rPr>
        <w:t xml:space="preserve">Kate Sander’s </w:t>
      </w:r>
      <w:r w:rsidRPr="00016319">
        <w:rPr>
          <w:rStyle w:val="Strong"/>
          <w:b w:val="0"/>
          <w:bCs w:val="0"/>
          <w:i/>
          <w:iCs/>
        </w:rPr>
        <w:t>embedded</w:t>
      </w:r>
      <w:r w:rsidR="000E12A1">
        <w:rPr>
          <w:rStyle w:val="Strong"/>
          <w:b w:val="0"/>
          <w:bCs w:val="0"/>
          <w:i/>
          <w:iCs/>
        </w:rPr>
        <w:t xml:space="preserve">, </w:t>
      </w:r>
      <w:r w:rsidRPr="00016319">
        <w:rPr>
          <w:rStyle w:val="Strong"/>
          <w:b w:val="0"/>
          <w:bCs w:val="0"/>
          <w:i/>
          <w:iCs/>
        </w:rPr>
        <w:t xml:space="preserve">embodied </w:t>
      </w:r>
      <w:r>
        <w:rPr>
          <w:rStyle w:val="Strong"/>
          <w:b w:val="0"/>
          <w:bCs w:val="0"/>
          <w:i/>
          <w:iCs/>
        </w:rPr>
        <w:t xml:space="preserve">participative </w:t>
      </w:r>
      <w:r w:rsidRPr="00016319">
        <w:rPr>
          <w:rStyle w:val="Strong"/>
          <w:b w:val="0"/>
          <w:bCs w:val="0"/>
          <w:i/>
          <w:iCs/>
        </w:rPr>
        <w:t>inquiry shows how significant the organisational context and culture are in terms of enabling well-being and flourishing in the workplace. It also highlights how organisations and workplaces are still failing to use approaches that were demonstrated to be effective</w:t>
      </w:r>
      <w:r>
        <w:rPr>
          <w:rStyle w:val="Strong"/>
          <w:b w:val="0"/>
          <w:bCs w:val="0"/>
          <w:i/>
          <w:iCs/>
        </w:rPr>
        <w:t>,</w:t>
      </w:r>
      <w:r w:rsidRPr="00016319">
        <w:rPr>
          <w:rStyle w:val="Strong"/>
          <w:b w:val="0"/>
          <w:bCs w:val="0"/>
          <w:i/>
          <w:iCs/>
        </w:rPr>
        <w:t xml:space="preserve"> as early as </w:t>
      </w:r>
      <w:r>
        <w:rPr>
          <w:rStyle w:val="Strong"/>
          <w:b w:val="0"/>
          <w:bCs w:val="0"/>
          <w:i/>
          <w:iCs/>
        </w:rPr>
        <w:t xml:space="preserve">the </w:t>
      </w:r>
      <w:r w:rsidRPr="00016319">
        <w:rPr>
          <w:rStyle w:val="Strong"/>
          <w:b w:val="0"/>
          <w:bCs w:val="0"/>
          <w:i/>
          <w:iCs/>
        </w:rPr>
        <w:t>1990s</w:t>
      </w:r>
      <w:r>
        <w:rPr>
          <w:rStyle w:val="Strong"/>
          <w:b w:val="0"/>
          <w:bCs w:val="0"/>
          <w:i/>
          <w:iCs/>
        </w:rPr>
        <w:t xml:space="preserve"> </w:t>
      </w:r>
      <w:r w:rsidR="00125257">
        <w:rPr>
          <w:rStyle w:val="Strong"/>
          <w:b w:val="0"/>
          <w:bCs w:val="0"/>
          <w:i/>
          <w:iCs/>
        </w:rPr>
        <w:t>(</w:t>
      </w:r>
      <w:r w:rsidR="000E12A1">
        <w:rPr>
          <w:rStyle w:val="Strong"/>
          <w:b w:val="0"/>
          <w:bCs w:val="0"/>
          <w:i/>
          <w:iCs/>
        </w:rPr>
        <w:t xml:space="preserve">e.g., </w:t>
      </w:r>
      <w:r w:rsidRPr="00016319">
        <w:rPr>
          <w:rStyle w:val="Strong"/>
          <w:b w:val="0"/>
          <w:bCs w:val="0"/>
          <w:i/>
          <w:iCs/>
        </w:rPr>
        <w:t>Binnie &amp; Titchen 1999</w:t>
      </w:r>
      <w:r w:rsidR="00125257">
        <w:rPr>
          <w:rStyle w:val="Strong"/>
          <w:b w:val="0"/>
          <w:bCs w:val="0"/>
          <w:i/>
          <w:iCs/>
        </w:rPr>
        <w:t>)</w:t>
      </w:r>
      <w:r w:rsidRPr="00016319">
        <w:rPr>
          <w:rStyle w:val="Strong"/>
          <w:b w:val="0"/>
          <w:bCs w:val="0"/>
          <w:i/>
          <w:iCs/>
        </w:rPr>
        <w:t xml:space="preserve"> </w:t>
      </w:r>
      <w:r>
        <w:rPr>
          <w:rStyle w:val="Strong"/>
          <w:b w:val="0"/>
          <w:bCs w:val="0"/>
          <w:i/>
          <w:iCs/>
        </w:rPr>
        <w:t xml:space="preserve">and beyond, </w:t>
      </w:r>
      <w:r w:rsidRPr="00016319">
        <w:rPr>
          <w:rStyle w:val="Strong"/>
          <w:b w:val="0"/>
          <w:bCs w:val="0"/>
          <w:i/>
          <w:iCs/>
        </w:rPr>
        <w:t>in terms of enabling strategic leaders to co-create with staff</w:t>
      </w:r>
      <w:r>
        <w:rPr>
          <w:rStyle w:val="Strong"/>
          <w:b w:val="0"/>
          <w:bCs w:val="0"/>
          <w:i/>
          <w:iCs/>
        </w:rPr>
        <w:t xml:space="preserve">: </w:t>
      </w:r>
    </w:p>
    <w:p w14:paraId="5EA71013" w14:textId="77777777" w:rsidR="00016319" w:rsidRDefault="00016319" w:rsidP="00016319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</w:rPr>
      </w:pPr>
      <w:r>
        <w:rPr>
          <w:rStyle w:val="Strong"/>
          <w:b w:val="0"/>
          <w:bCs w:val="0"/>
          <w:i/>
          <w:iCs/>
        </w:rPr>
        <w:t xml:space="preserve">A </w:t>
      </w:r>
      <w:r w:rsidRPr="00016319">
        <w:rPr>
          <w:rStyle w:val="Strong"/>
          <w:b w:val="0"/>
          <w:bCs w:val="0"/>
          <w:i/>
          <w:iCs/>
        </w:rPr>
        <w:t>flattened workplace hierarchy</w:t>
      </w:r>
    </w:p>
    <w:p w14:paraId="4A209D57" w14:textId="77777777" w:rsidR="00016319" w:rsidRDefault="00016319" w:rsidP="00016319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</w:rPr>
      </w:pPr>
      <w:r>
        <w:rPr>
          <w:rStyle w:val="Strong"/>
          <w:b w:val="0"/>
          <w:bCs w:val="0"/>
          <w:i/>
          <w:iCs/>
        </w:rPr>
        <w:t>A</w:t>
      </w:r>
      <w:r w:rsidRPr="00016319">
        <w:rPr>
          <w:rStyle w:val="Strong"/>
          <w:b w:val="0"/>
          <w:bCs w:val="0"/>
          <w:i/>
          <w:iCs/>
        </w:rPr>
        <w:t xml:space="preserve"> caring, effective workplace culture</w:t>
      </w:r>
    </w:p>
    <w:p w14:paraId="6040F6C8" w14:textId="77777777" w:rsidR="00016319" w:rsidRPr="00016319" w:rsidRDefault="00016319" w:rsidP="00016319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</w:rPr>
      </w:pPr>
      <w:r>
        <w:rPr>
          <w:rStyle w:val="Strong"/>
          <w:b w:val="0"/>
          <w:bCs w:val="0"/>
          <w:i/>
          <w:iCs/>
        </w:rPr>
        <w:t>C</w:t>
      </w:r>
      <w:r w:rsidRPr="00016319">
        <w:rPr>
          <w:rStyle w:val="Strong"/>
          <w:b w:val="0"/>
          <w:bCs w:val="0"/>
          <w:i/>
          <w:iCs/>
        </w:rPr>
        <w:t xml:space="preserve">ollaborative, non-hierarchical relationships between </w:t>
      </w:r>
      <w:r w:rsidRPr="000E12A1">
        <w:rPr>
          <w:rStyle w:val="Strong"/>
          <w:b w:val="0"/>
          <w:bCs w:val="0"/>
          <w:i/>
          <w:iCs/>
        </w:rPr>
        <w:t>healthcare professionals).</w:t>
      </w:r>
      <w:r w:rsidRPr="00016319">
        <w:rPr>
          <w:rStyle w:val="Strong"/>
          <w:b w:val="0"/>
          <w:bCs w:val="0"/>
          <w:i/>
          <w:iCs/>
        </w:rPr>
        <w:t xml:space="preserve"> </w:t>
      </w:r>
    </w:p>
    <w:p w14:paraId="2E8D0271" w14:textId="0C94F951" w:rsidR="00C30D81" w:rsidRDefault="001C208D" w:rsidP="00C15006">
      <w:pPr>
        <w:adjustRightInd w:val="0"/>
      </w:pPr>
      <w:r w:rsidRPr="00C25DDB">
        <w:rPr>
          <w:color w:val="000000"/>
        </w:rPr>
        <w:t>Titchen, A. Dewing</w:t>
      </w:r>
      <w:r w:rsidR="000E12A1">
        <w:rPr>
          <w:color w:val="000000"/>
        </w:rPr>
        <w:t xml:space="preserve">, </w:t>
      </w:r>
      <w:r w:rsidRPr="00C25DDB">
        <w:rPr>
          <w:color w:val="000000"/>
        </w:rPr>
        <w:t xml:space="preserve">J. </w:t>
      </w:r>
      <w:proofErr w:type="gramStart"/>
      <w:r w:rsidRPr="00C25DDB">
        <w:rPr>
          <w:bCs/>
          <w:color w:val="000000"/>
        </w:rPr>
        <w:t xml:space="preserve">Manley </w:t>
      </w:r>
      <w:r w:rsidRPr="00C25DDB">
        <w:rPr>
          <w:color w:val="000000"/>
        </w:rPr>
        <w:t>,</w:t>
      </w:r>
      <w:proofErr w:type="gramEnd"/>
      <w:r w:rsidRPr="00C25DDB">
        <w:rPr>
          <w:color w:val="000000"/>
        </w:rPr>
        <w:t xml:space="preserve">K.(2013) Getting going with facilitation skills in practice development. In McCormack, B. Manley, K. Titchen, A. Practice Development in Nursing and Healthcare (2nd ed) Wiley-Blackwell, Chichester pp109-129 </w:t>
      </w:r>
    </w:p>
    <w:sectPr w:rsidR="00C30D81" w:rsidSect="008168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580045"/>
    <w:multiLevelType w:val="hybridMultilevel"/>
    <w:tmpl w:val="0C2EBB5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71566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8D"/>
    <w:rsid w:val="00016319"/>
    <w:rsid w:val="000E12A1"/>
    <w:rsid w:val="00125257"/>
    <w:rsid w:val="001C208D"/>
    <w:rsid w:val="002D2825"/>
    <w:rsid w:val="003E0D40"/>
    <w:rsid w:val="003F6423"/>
    <w:rsid w:val="005842A5"/>
    <w:rsid w:val="0066370C"/>
    <w:rsid w:val="007D6FDD"/>
    <w:rsid w:val="007F7CFE"/>
    <w:rsid w:val="0081680A"/>
    <w:rsid w:val="009A75D2"/>
    <w:rsid w:val="00A67B35"/>
    <w:rsid w:val="00C15006"/>
    <w:rsid w:val="00C30D81"/>
    <w:rsid w:val="00C338A3"/>
    <w:rsid w:val="00E46F5C"/>
    <w:rsid w:val="00F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239BC"/>
  <w15:chartTrackingRefBased/>
  <w15:docId w15:val="{F8A71869-991B-A444-83E4-0968424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8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6319"/>
    <w:rPr>
      <w:b/>
      <w:bCs/>
    </w:rPr>
  </w:style>
  <w:style w:type="character" w:styleId="Hyperlink">
    <w:name w:val="Hyperlink"/>
    <w:basedOn w:val="DefaultParagraphFont"/>
    <w:uiPriority w:val="99"/>
    <w:unhideWhenUsed/>
    <w:rsid w:val="000163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31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63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70C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"/>
    <w:rsid w:val="00C338A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3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edcreativity.com/pages/PatternsOnePag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jep.13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doi/full/10.1080/09650792.2016.11581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ns.org/library/journal/volume4-issue1/article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9043/ipdj.131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Titchen</dc:creator>
  <cp:keywords/>
  <dc:description/>
  <cp:lastModifiedBy>Angie Titchen Titchen</cp:lastModifiedBy>
  <cp:revision>9</cp:revision>
  <cp:lastPrinted>2023-08-15T13:55:00Z</cp:lastPrinted>
  <dcterms:created xsi:type="dcterms:W3CDTF">2023-08-02T17:52:00Z</dcterms:created>
  <dcterms:modified xsi:type="dcterms:W3CDTF">2025-01-06T19:30:00Z</dcterms:modified>
</cp:coreProperties>
</file>