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38DFA6" w14:textId="3EBC05D8" w:rsidR="00270EEA" w:rsidRPr="002730EE" w:rsidRDefault="00FB7F2C" w:rsidP="00270EEA">
      <w:pPr>
        <w:spacing w:after="0" w:line="240" w:lineRule="auto"/>
        <w:jc w:val="center"/>
        <w:rPr>
          <w:rFonts w:asciiTheme="minorHAnsi" w:hAnsiTheme="minorHAnsi" w:cstheme="minorHAnsi"/>
          <w:color w:val="000000" w:themeColor="text1"/>
          <w:sz w:val="28"/>
          <w:szCs w:val="28"/>
        </w:rPr>
      </w:pPr>
      <w:r w:rsidRPr="00EC0B59">
        <w:rPr>
          <w:rFonts w:cs="Calibri"/>
          <w:b/>
          <w:bCs/>
          <w:color w:val="002060"/>
          <w:sz w:val="32"/>
          <w:szCs w:val="32"/>
        </w:rPr>
        <w:t>Key readin</w:t>
      </w:r>
      <w:r>
        <w:rPr>
          <w:rFonts w:cs="Calibri"/>
          <w:b/>
          <w:bCs/>
          <w:color w:val="002060"/>
          <w:sz w:val="32"/>
          <w:szCs w:val="32"/>
        </w:rPr>
        <w:t>g embedded research</w:t>
      </w:r>
    </w:p>
    <w:p w14:paraId="3D045E58" w14:textId="77777777" w:rsidR="004779C8" w:rsidRDefault="004779C8" w:rsidP="004779C8">
      <w:pPr>
        <w:suppressAutoHyphens w:val="0"/>
        <w:autoSpaceDN/>
        <w:spacing w:line="259" w:lineRule="auto"/>
        <w:textAlignment w:val="auto"/>
        <w:rPr>
          <w:rFonts w:asciiTheme="minorHAnsi" w:eastAsiaTheme="minorHAnsi" w:hAnsiTheme="minorHAnsi" w:cstheme="minorHAnsi"/>
          <w:b/>
          <w:bCs/>
        </w:rPr>
      </w:pPr>
    </w:p>
    <w:p w14:paraId="11466CBE" w14:textId="327E9419" w:rsidR="004779C8" w:rsidRPr="004779C8" w:rsidRDefault="004779C8" w:rsidP="004779C8">
      <w:pPr>
        <w:suppressAutoHyphens w:val="0"/>
        <w:autoSpaceDN/>
        <w:spacing w:line="259" w:lineRule="auto"/>
        <w:textAlignment w:val="auto"/>
        <w:rPr>
          <w:rFonts w:asciiTheme="minorHAnsi" w:eastAsiaTheme="minorHAnsi" w:hAnsiTheme="minorHAnsi" w:cstheme="minorHAnsi"/>
          <w:b/>
          <w:bCs/>
        </w:rPr>
      </w:pPr>
      <w:r w:rsidRPr="004779C8">
        <w:rPr>
          <w:rFonts w:asciiTheme="minorHAnsi" w:eastAsiaTheme="minorHAnsi" w:hAnsiTheme="minorHAnsi" w:cstheme="minorHAnsi"/>
          <w:b/>
          <w:bCs/>
        </w:rPr>
        <w:t>Helpful background</w:t>
      </w:r>
    </w:p>
    <w:p w14:paraId="1C4885E5" w14:textId="77777777" w:rsidR="004779C8" w:rsidRPr="004779C8" w:rsidRDefault="004779C8" w:rsidP="004779C8">
      <w:pPr>
        <w:suppressAutoHyphens w:val="0"/>
        <w:autoSpaceDN/>
        <w:spacing w:line="259" w:lineRule="auto"/>
        <w:textAlignment w:val="auto"/>
        <w:rPr>
          <w:rFonts w:asciiTheme="minorHAnsi" w:eastAsiaTheme="minorHAnsi" w:hAnsiTheme="minorHAnsi" w:cstheme="minorHAnsi"/>
        </w:rPr>
      </w:pPr>
      <w:r w:rsidRPr="004779C8">
        <w:rPr>
          <w:rFonts w:asciiTheme="minorHAnsi" w:eastAsiaTheme="minorHAnsi" w:hAnsiTheme="minorHAnsi" w:cstheme="minorHAnsi"/>
        </w:rPr>
        <w:t xml:space="preserve">Belcher, B. &amp; Halliwell J. (2021) Conceptualizing the elements of research impact: towards semantic standards. Humanit Soc Sci Commun 8, 183 (2021). </w:t>
      </w:r>
      <w:hyperlink r:id="rId4" w:history="1">
        <w:r w:rsidRPr="004779C8">
          <w:rPr>
            <w:rStyle w:val="Hyperlink"/>
            <w:rFonts w:asciiTheme="minorHAnsi" w:eastAsiaTheme="minorHAnsi" w:hAnsiTheme="minorHAnsi" w:cstheme="minorHAnsi"/>
          </w:rPr>
          <w:t>https://www.cifor-icraf.org/publications/pdf_files/articles/ABelcher2103.pdf</w:t>
        </w:r>
      </w:hyperlink>
      <w:r w:rsidRPr="004779C8">
        <w:rPr>
          <w:rFonts w:asciiTheme="minorHAnsi" w:eastAsiaTheme="minorHAnsi" w:hAnsiTheme="minorHAnsi" w:cstheme="minorHAnsi"/>
        </w:rPr>
        <w:t xml:space="preserve"> (Accessed 9/11/24)</w:t>
      </w:r>
    </w:p>
    <w:p w14:paraId="6AB31CDF" w14:textId="7159E32F" w:rsidR="00270EEA" w:rsidRPr="004779C8" w:rsidRDefault="00270EEA" w:rsidP="00270EEA">
      <w:pPr>
        <w:suppressAutoHyphens w:val="0"/>
        <w:autoSpaceDN/>
        <w:spacing w:line="259" w:lineRule="auto"/>
        <w:textAlignment w:val="auto"/>
        <w:rPr>
          <w:rFonts w:asciiTheme="minorHAnsi" w:eastAsiaTheme="minorHAnsi" w:hAnsiTheme="minorHAnsi" w:cstheme="minorHAnsi"/>
        </w:rPr>
      </w:pPr>
      <w:r w:rsidRPr="004779C8">
        <w:rPr>
          <w:rFonts w:asciiTheme="minorHAnsi" w:eastAsiaTheme="minorHAnsi" w:hAnsiTheme="minorHAnsi" w:cstheme="minorHAnsi"/>
        </w:rPr>
        <w:t xml:space="preserve">Vindrola-Padros, C; Pape, T; Utley, M; Fulop N. (2015) The role of embedded research in quality improvement: a narrative review BMJ Qual Saf 2017;26:70–80. </w:t>
      </w:r>
      <w:r w:rsidR="0072045D" w:rsidRPr="004779C8">
        <w:rPr>
          <w:rFonts w:asciiTheme="minorHAnsi" w:eastAsiaTheme="minorHAnsi" w:hAnsiTheme="minorHAnsi" w:cstheme="minorHAnsi"/>
        </w:rPr>
        <w:t>https://qualitysafety.bmj.com/content/qhc/26/1/70.full.pdf (Accessed 9/11/24)</w:t>
      </w:r>
    </w:p>
    <w:p w14:paraId="7467932A" w14:textId="6F3A1FF2" w:rsidR="00270EEA" w:rsidRPr="004779C8" w:rsidRDefault="00270EEA" w:rsidP="00270EEA">
      <w:pPr>
        <w:suppressAutoHyphens w:val="0"/>
        <w:autoSpaceDN/>
        <w:spacing w:line="259" w:lineRule="auto"/>
        <w:textAlignment w:val="auto"/>
        <w:rPr>
          <w:rFonts w:asciiTheme="minorHAnsi" w:eastAsiaTheme="minorHAnsi" w:hAnsiTheme="minorHAnsi" w:cstheme="minorHAnsi"/>
        </w:rPr>
      </w:pPr>
      <w:r w:rsidRPr="004779C8">
        <w:rPr>
          <w:rFonts w:asciiTheme="minorHAnsi" w:eastAsiaTheme="minorHAnsi" w:hAnsiTheme="minorHAnsi" w:cstheme="minorHAnsi"/>
        </w:rPr>
        <w:t xml:space="preserve">Ward, V Tooman, T ; Reid, B ; Davies, H ; Marshall, M. (2020) Embedding researchers into organisations: a study of the features of embedded research initiatives Evidence &amp; Policy: A Journal of Research, Debate and Practice </w:t>
      </w:r>
      <w:hyperlink r:id="rId5" w:history="1">
        <w:r w:rsidR="0072045D" w:rsidRPr="004779C8">
          <w:rPr>
            <w:rStyle w:val="Hyperlink"/>
            <w:rFonts w:asciiTheme="minorHAnsi" w:eastAsiaTheme="minorHAnsi" w:hAnsiTheme="minorHAnsi" w:cstheme="minorHAnsi"/>
          </w:rPr>
          <w:t>https://research-repository.st-andrews.ac.uk/bitstream/handle/10023/23201/Ward_2021_EP_Embedding_researchers_CC.pdf?sequence=1&amp;isAllowed=y</w:t>
        </w:r>
      </w:hyperlink>
      <w:r w:rsidR="0072045D" w:rsidRPr="004779C8">
        <w:rPr>
          <w:rFonts w:asciiTheme="minorHAnsi" w:eastAsiaTheme="minorHAnsi" w:hAnsiTheme="minorHAnsi" w:cstheme="minorHAnsi"/>
        </w:rPr>
        <w:t xml:space="preserve"> (Accessed 9/11/24)</w:t>
      </w:r>
    </w:p>
    <w:p w14:paraId="4485B1A3" w14:textId="34EB4324" w:rsidR="00270EEA" w:rsidRDefault="00270EEA" w:rsidP="00270EEA">
      <w:pPr>
        <w:suppressAutoHyphens w:val="0"/>
        <w:autoSpaceDN/>
        <w:spacing w:line="259" w:lineRule="auto"/>
        <w:textAlignment w:val="auto"/>
        <w:rPr>
          <w:rFonts w:asciiTheme="minorHAnsi" w:eastAsiaTheme="minorHAnsi" w:hAnsiTheme="minorHAnsi" w:cstheme="minorHAnsi"/>
        </w:rPr>
      </w:pPr>
      <w:r w:rsidRPr="004779C8">
        <w:rPr>
          <w:rFonts w:asciiTheme="minorHAnsi" w:eastAsiaTheme="minorHAnsi" w:hAnsiTheme="minorHAnsi" w:cstheme="minorHAnsi"/>
        </w:rPr>
        <w:t xml:space="preserve">Ward, V ; Tooman, T ; Reid, B ; Davies, H ; O’ Brien, B ; Mear, L ; Marshall, M (2021) A framework to support the design and cultivation of embedded research initiatives Evidence &amp; Policy: A Journal of Research, Debate and Practice DOI: </w:t>
      </w:r>
      <w:hyperlink r:id="rId6" w:history="1">
        <w:r w:rsidR="0072045D" w:rsidRPr="004779C8">
          <w:rPr>
            <w:rStyle w:val="Hyperlink"/>
            <w:rFonts w:asciiTheme="minorHAnsi" w:eastAsiaTheme="minorHAnsi" w:hAnsiTheme="minorHAnsi" w:cstheme="minorHAnsi"/>
          </w:rPr>
          <w:t>https://doi.org/10.1332/174426421X16165177707227</w:t>
        </w:r>
      </w:hyperlink>
      <w:r w:rsidR="0072045D" w:rsidRPr="004779C8">
        <w:rPr>
          <w:rFonts w:asciiTheme="minorHAnsi" w:eastAsiaTheme="minorHAnsi" w:hAnsiTheme="minorHAnsi" w:cstheme="minorHAnsi"/>
        </w:rPr>
        <w:t xml:space="preserve"> (Accessed 9/11/24)</w:t>
      </w:r>
    </w:p>
    <w:p w14:paraId="195C2784" w14:textId="77777777" w:rsidR="00217851" w:rsidRPr="004779C8" w:rsidRDefault="00217851" w:rsidP="00217851">
      <w:pPr>
        <w:pStyle w:val="Title"/>
        <w:jc w:val="left"/>
        <w:rPr>
          <w:rFonts w:asciiTheme="minorHAnsi" w:eastAsiaTheme="minorHAnsi" w:hAnsiTheme="minorHAnsi" w:cstheme="minorHAnsi"/>
          <w:b w:val="0"/>
          <w:bCs/>
          <w:sz w:val="22"/>
          <w:szCs w:val="22"/>
        </w:rPr>
      </w:pPr>
      <w:r w:rsidRPr="004779C8">
        <w:rPr>
          <w:rFonts w:asciiTheme="minorHAnsi" w:eastAsiaTheme="minorHAnsi" w:hAnsiTheme="minorHAnsi" w:cstheme="minorHAnsi"/>
          <w:b w:val="0"/>
          <w:bCs/>
          <w:sz w:val="22"/>
          <w:szCs w:val="22"/>
        </w:rPr>
        <w:t xml:space="preserve">Whitehouse, C. Tinkler, L., Jackson, C., Hall, H., et al (2022) Embedding research (ER) led by nurses, midwives and allied health professionals (NMAHPs): the NMAHP- ER model. BMJ Leader 0:1–4. doi:10.1136/leader-2021-000578 Equality, diversity &amp; Inclusion Equality and Human Rights Commission, (2010) Protected Characteristics </w:t>
      </w:r>
    </w:p>
    <w:p w14:paraId="77873729" w14:textId="77777777" w:rsidR="00217851" w:rsidRDefault="00217851" w:rsidP="00270EEA">
      <w:pPr>
        <w:suppressAutoHyphens w:val="0"/>
        <w:autoSpaceDN/>
        <w:spacing w:line="259" w:lineRule="auto"/>
        <w:textAlignment w:val="auto"/>
        <w:rPr>
          <w:rFonts w:asciiTheme="minorHAnsi" w:eastAsiaTheme="minorHAnsi" w:hAnsiTheme="minorHAnsi" w:cstheme="minorHAnsi"/>
        </w:rPr>
      </w:pPr>
    </w:p>
    <w:p w14:paraId="1F0A41A6" w14:textId="74E6D413" w:rsidR="004779C8" w:rsidRDefault="004779C8" w:rsidP="00270EEA">
      <w:pPr>
        <w:suppressAutoHyphens w:val="0"/>
        <w:autoSpaceDN/>
        <w:spacing w:line="259" w:lineRule="auto"/>
        <w:textAlignment w:val="auto"/>
        <w:rPr>
          <w:rFonts w:asciiTheme="minorHAnsi" w:eastAsiaTheme="minorHAnsi" w:hAnsiTheme="minorHAnsi" w:cstheme="minorHAnsi"/>
        </w:rPr>
      </w:pPr>
      <w:r w:rsidRPr="00217851">
        <w:rPr>
          <w:rFonts w:asciiTheme="minorHAnsi" w:eastAsiaTheme="minorHAnsi" w:hAnsiTheme="minorHAnsi" w:cstheme="minorHAnsi"/>
          <w:b/>
          <w:bCs/>
          <w:sz w:val="24"/>
          <w:szCs w:val="24"/>
        </w:rPr>
        <w:t>In our experience</w:t>
      </w:r>
      <w:r w:rsidRPr="004779C8">
        <w:rPr>
          <w:rFonts w:asciiTheme="minorHAnsi" w:eastAsiaTheme="minorHAnsi" w:hAnsiTheme="minorHAnsi" w:cstheme="minorHAnsi"/>
          <w:i/>
          <w:iCs/>
        </w:rPr>
        <w:t xml:space="preserve">, embedded research approaches are likely to be participatory and action-oriented, where researchers are participants, e.g., as a strategic, enabling leader, as well as facilitating the research.  All the contributors in this </w:t>
      </w:r>
      <w:r>
        <w:rPr>
          <w:rFonts w:asciiTheme="minorHAnsi" w:eastAsiaTheme="minorHAnsi" w:hAnsiTheme="minorHAnsi" w:cstheme="minorHAnsi"/>
          <w:i/>
          <w:iCs/>
        </w:rPr>
        <w:t xml:space="preserve">Resource </w:t>
      </w:r>
      <w:r w:rsidRPr="004779C8">
        <w:rPr>
          <w:rFonts w:asciiTheme="minorHAnsi" w:eastAsiaTheme="minorHAnsi" w:hAnsiTheme="minorHAnsi" w:cstheme="minorHAnsi"/>
          <w:i/>
          <w:iCs/>
        </w:rPr>
        <w:t>Guide have used such approaches, e.g., Shaun Cardiff (critical participatory action research), Donna Frost (critical, creative, collaborative inquiry), Famke van Lieshout and Lorna Peelo-Kilroe (participatory action research</w:t>
      </w:r>
      <w:r>
        <w:rPr>
          <w:rFonts w:asciiTheme="minorHAnsi" w:eastAsiaTheme="minorHAnsi" w:hAnsiTheme="minorHAnsi" w:cstheme="minorHAnsi"/>
          <w:i/>
          <w:iCs/>
        </w:rPr>
        <w:t xml:space="preserve">). </w:t>
      </w:r>
      <w:r w:rsidRPr="004779C8">
        <w:rPr>
          <w:rFonts w:asciiTheme="minorHAnsi" w:eastAsiaTheme="minorHAnsi" w:hAnsiTheme="minorHAnsi" w:cstheme="minorHAnsi"/>
          <w:i/>
          <w:iCs/>
        </w:rPr>
        <w:t xml:space="preserve"> The references below are a taster to give you a sense of how practitioners can undertake work-based inquiries into their own practice with others</w:t>
      </w:r>
    </w:p>
    <w:p w14:paraId="10AE9E39" w14:textId="77777777" w:rsidR="004779C8" w:rsidRPr="004779C8" w:rsidRDefault="004779C8" w:rsidP="004779C8">
      <w:pPr>
        <w:suppressAutoHyphens w:val="0"/>
        <w:autoSpaceDN/>
        <w:spacing w:line="259" w:lineRule="auto"/>
        <w:textAlignment w:val="auto"/>
        <w:rPr>
          <w:rFonts w:asciiTheme="minorHAnsi" w:eastAsiaTheme="minorHAnsi" w:hAnsiTheme="minorHAnsi" w:cstheme="minorHAnsi"/>
        </w:rPr>
      </w:pPr>
      <w:r w:rsidRPr="004779C8">
        <w:rPr>
          <w:rFonts w:asciiTheme="minorHAnsi" w:eastAsiaTheme="minorHAnsi" w:hAnsiTheme="minorHAnsi" w:cstheme="minorHAnsi"/>
        </w:rPr>
        <w:t>Cardiff, S. (2012) Critical and creative reflective inquiry: surfacing narratives to enable learning and inform action. Educational Action Research. Vol. 20. No. 4. pp 605-622.</w:t>
      </w:r>
    </w:p>
    <w:p w14:paraId="3904D905" w14:textId="374581FA" w:rsidR="00416E6C" w:rsidRPr="004779C8" w:rsidRDefault="00416E6C" w:rsidP="00416E6C">
      <w:pPr>
        <w:rPr>
          <w:rStyle w:val="Strong"/>
          <w:rFonts w:asciiTheme="minorHAnsi" w:hAnsiTheme="minorHAnsi" w:cstheme="minorHAnsi"/>
          <w:b w:val="0"/>
          <w:bCs w:val="0"/>
          <w:color w:val="000000" w:themeColor="text1"/>
        </w:rPr>
      </w:pPr>
      <w:r w:rsidRPr="004779C8">
        <w:rPr>
          <w:rFonts w:asciiTheme="minorHAnsi" w:hAnsiTheme="minorHAnsi" w:cstheme="minorHAnsi"/>
          <w:bCs/>
        </w:rPr>
        <w:t xml:space="preserve">Codd M. &amp; Titchen A. (2022) Navigating new waters together using critical creativity. International Practice Development Journal, 12(1), Article 2. </w:t>
      </w:r>
      <w:hyperlink r:id="rId7" w:history="1">
        <w:r w:rsidRPr="004779C8">
          <w:rPr>
            <w:rStyle w:val="Hyperlink"/>
            <w:rFonts w:asciiTheme="minorHAnsi" w:hAnsiTheme="minorHAnsi" w:cstheme="minorHAnsi"/>
          </w:rPr>
          <w:t>https://doi.org/10.19043/ipdj.121.002</w:t>
        </w:r>
      </w:hyperlink>
      <w:r w:rsidR="004779C8">
        <w:rPr>
          <w:rStyle w:val="Hyperlink"/>
          <w:rFonts w:asciiTheme="minorHAnsi" w:hAnsiTheme="minorHAnsi" w:cstheme="minorHAnsi"/>
        </w:rPr>
        <w:t xml:space="preserve"> </w:t>
      </w:r>
      <w:r w:rsidR="004779C8" w:rsidRPr="004779C8">
        <w:rPr>
          <w:rStyle w:val="Hyperlink"/>
          <w:rFonts w:asciiTheme="minorHAnsi" w:hAnsiTheme="minorHAnsi" w:cstheme="minorHAnsi"/>
          <w:color w:val="000000" w:themeColor="text1"/>
        </w:rPr>
        <w:t>(accessed 2/12/24)</w:t>
      </w:r>
    </w:p>
    <w:p w14:paraId="0EF16542" w14:textId="598AFA94" w:rsidR="004779C8" w:rsidRPr="004779C8" w:rsidRDefault="004779C8" w:rsidP="004779C8">
      <w:pPr>
        <w:suppressAutoHyphens w:val="0"/>
        <w:autoSpaceDN/>
        <w:spacing w:line="259" w:lineRule="auto"/>
        <w:textAlignment w:val="auto"/>
        <w:rPr>
          <w:rFonts w:asciiTheme="minorHAnsi" w:eastAsiaTheme="minorHAnsi" w:hAnsiTheme="minorHAnsi" w:cstheme="minorHAnsi"/>
        </w:rPr>
      </w:pPr>
      <w:r w:rsidRPr="004779C8">
        <w:rPr>
          <w:rFonts w:asciiTheme="minorHAnsi" w:eastAsiaTheme="minorHAnsi" w:hAnsiTheme="minorHAnsi" w:cstheme="minorHAnsi"/>
        </w:rPr>
        <w:t xml:space="preserve">Manley, K; Parlour, R; Yalden J. (2013) The use of action hypotheses to demonstrate practice development strategies in action. In McCormack, B., Manley, K. and Titchen, A. (Eds.) Practice Development in Nursing and Health Care. 2nd edition. Oxford: Wiley-Blackwell. pp </w:t>
      </w:r>
      <w:r>
        <w:rPr>
          <w:rFonts w:asciiTheme="minorHAnsi" w:eastAsiaTheme="minorHAnsi" w:hAnsiTheme="minorHAnsi" w:cstheme="minorHAnsi"/>
        </w:rPr>
        <w:t>252-274.</w:t>
      </w:r>
    </w:p>
    <w:p w14:paraId="279B95A4" w14:textId="77777777" w:rsidR="004779C8" w:rsidRPr="004779C8" w:rsidRDefault="004779C8" w:rsidP="004779C8">
      <w:pPr>
        <w:pStyle w:val="Title"/>
        <w:jc w:val="left"/>
        <w:rPr>
          <w:rFonts w:asciiTheme="minorHAnsi" w:hAnsiTheme="minorHAnsi" w:cstheme="minorHAnsi"/>
          <w:b w:val="0"/>
          <w:sz w:val="22"/>
          <w:szCs w:val="22"/>
        </w:rPr>
      </w:pPr>
      <w:r w:rsidRPr="004779C8">
        <w:rPr>
          <w:rFonts w:asciiTheme="minorHAnsi" w:hAnsiTheme="minorHAnsi" w:cstheme="minorHAnsi"/>
          <w:b w:val="0"/>
          <w:sz w:val="22"/>
          <w:szCs w:val="22"/>
        </w:rPr>
        <w:t xml:space="preserve">McCormack B. and Titchen A. (2006) Critical creativity: melding, exploding, blending, </w:t>
      </w:r>
      <w:r w:rsidRPr="004779C8">
        <w:rPr>
          <w:rFonts w:asciiTheme="minorHAnsi" w:hAnsiTheme="minorHAnsi" w:cstheme="minorHAnsi"/>
          <w:b w:val="0"/>
          <w:i/>
          <w:sz w:val="22"/>
          <w:szCs w:val="22"/>
        </w:rPr>
        <w:t>Educational Action Research: an International Journal</w:t>
      </w:r>
      <w:r w:rsidRPr="004779C8">
        <w:rPr>
          <w:rFonts w:asciiTheme="minorHAnsi" w:hAnsiTheme="minorHAnsi" w:cstheme="minorHAnsi"/>
          <w:b w:val="0"/>
          <w:sz w:val="22"/>
          <w:szCs w:val="22"/>
        </w:rPr>
        <w:t>, 14(2), 239-266.</w:t>
      </w:r>
    </w:p>
    <w:p w14:paraId="63ECCFEB" w14:textId="77777777" w:rsidR="004779C8" w:rsidRPr="004779C8" w:rsidRDefault="004779C8" w:rsidP="004779C8">
      <w:pPr>
        <w:pStyle w:val="Title"/>
        <w:jc w:val="left"/>
        <w:rPr>
          <w:rFonts w:asciiTheme="minorHAnsi" w:eastAsiaTheme="minorHAnsi" w:hAnsiTheme="minorHAnsi" w:cstheme="minorHAnsi"/>
          <w:b w:val="0"/>
          <w:bCs/>
          <w:sz w:val="22"/>
          <w:szCs w:val="22"/>
        </w:rPr>
      </w:pPr>
    </w:p>
    <w:p w14:paraId="627F6324" w14:textId="43BBD9DE" w:rsidR="004779C8" w:rsidRPr="004779C8" w:rsidRDefault="004779C8" w:rsidP="004779C8">
      <w:pPr>
        <w:pStyle w:val="Title"/>
        <w:jc w:val="left"/>
        <w:rPr>
          <w:rFonts w:asciiTheme="minorHAnsi" w:eastAsiaTheme="minorHAnsi" w:hAnsiTheme="minorHAnsi" w:cstheme="minorHAnsi"/>
          <w:b w:val="0"/>
          <w:bCs/>
          <w:sz w:val="22"/>
          <w:szCs w:val="22"/>
        </w:rPr>
      </w:pPr>
      <w:r w:rsidRPr="004779C8">
        <w:rPr>
          <w:rFonts w:asciiTheme="minorHAnsi" w:eastAsiaTheme="minorHAnsi" w:hAnsiTheme="minorHAnsi" w:cstheme="minorHAnsi"/>
          <w:b w:val="0"/>
          <w:bCs/>
          <w:sz w:val="22"/>
          <w:szCs w:val="22"/>
        </w:rPr>
        <w:lastRenderedPageBreak/>
        <w:t>Oye, C.; Green, C., Kirk, C., Vindrola-Padros, C, and Fairbrother, G. (2021) Critical Ethnography: A method for improving healthcare cultures in practice development and embedded research. Chapter 7 in Manley K; Wilson, V; Oye C. (2021) International practice Development in Health and Social Care (2nd ed). Wiley, Chichester ISBN: 978-1-119-69835-7 pp86-97</w:t>
      </w:r>
      <w:r>
        <w:rPr>
          <w:rFonts w:asciiTheme="minorHAnsi" w:eastAsiaTheme="minorHAnsi" w:hAnsiTheme="minorHAnsi" w:cstheme="minorHAnsi"/>
          <w:b w:val="0"/>
          <w:bCs/>
          <w:sz w:val="22"/>
          <w:szCs w:val="22"/>
        </w:rPr>
        <w:t>.</w:t>
      </w:r>
      <w:r w:rsidRPr="004779C8">
        <w:rPr>
          <w:rFonts w:asciiTheme="minorHAnsi" w:eastAsiaTheme="minorHAnsi" w:hAnsiTheme="minorHAnsi" w:cstheme="minorHAnsi"/>
          <w:b w:val="0"/>
          <w:bCs/>
          <w:sz w:val="22"/>
          <w:szCs w:val="22"/>
        </w:rPr>
        <w:t xml:space="preserve"> </w:t>
      </w:r>
    </w:p>
    <w:p w14:paraId="38198A26" w14:textId="77777777" w:rsidR="004B54D3" w:rsidRPr="004779C8" w:rsidRDefault="004B54D3" w:rsidP="004B54D3">
      <w:pPr>
        <w:pStyle w:val="Title"/>
        <w:jc w:val="left"/>
        <w:rPr>
          <w:rFonts w:asciiTheme="minorHAnsi" w:eastAsiaTheme="minorHAnsi" w:hAnsiTheme="minorHAnsi" w:cstheme="minorHAnsi"/>
          <w:b w:val="0"/>
          <w:bCs/>
          <w:sz w:val="22"/>
          <w:szCs w:val="22"/>
        </w:rPr>
      </w:pPr>
    </w:p>
    <w:p w14:paraId="7B9B0349" w14:textId="77777777" w:rsidR="004779C8" w:rsidRPr="004779C8" w:rsidRDefault="004779C8" w:rsidP="004779C8">
      <w:pPr>
        <w:spacing w:line="240" w:lineRule="exact"/>
        <w:jc w:val="both"/>
        <w:rPr>
          <w:rFonts w:asciiTheme="minorHAnsi" w:hAnsiTheme="minorHAnsi" w:cstheme="minorHAnsi"/>
        </w:rPr>
      </w:pPr>
      <w:r w:rsidRPr="004779C8">
        <w:rPr>
          <w:rFonts w:asciiTheme="minorHAnsi" w:eastAsiaTheme="minorHAnsi" w:hAnsiTheme="minorHAnsi" w:cstheme="minorHAnsi"/>
        </w:rPr>
        <w:t xml:space="preserve">Titchen A., Manley K. (2007) Facilitating research as shared action and transformation. In Higgs J., </w:t>
      </w:r>
      <w:r w:rsidRPr="004779C8">
        <w:rPr>
          <w:rFonts w:asciiTheme="minorHAnsi" w:hAnsiTheme="minorHAnsi" w:cstheme="minorHAnsi"/>
        </w:rPr>
        <w:t xml:space="preserve">Titchen A., Horsfall D. &amp; Armstrong H. (Eds) Being Critical &amp; Creative in Qualitative Research, pp108-119, Hampden Press, Sydney. </w:t>
      </w:r>
    </w:p>
    <w:p w14:paraId="04DA0614" w14:textId="77777777" w:rsidR="004779C8" w:rsidRPr="004779C8" w:rsidRDefault="004779C8" w:rsidP="004779C8">
      <w:pPr>
        <w:spacing w:line="240" w:lineRule="exact"/>
        <w:jc w:val="both"/>
        <w:rPr>
          <w:rFonts w:asciiTheme="minorHAnsi" w:hAnsiTheme="minorHAnsi" w:cstheme="minorHAnsi"/>
        </w:rPr>
      </w:pPr>
      <w:r w:rsidRPr="004779C8">
        <w:rPr>
          <w:rFonts w:asciiTheme="minorHAnsi" w:hAnsiTheme="minorHAnsi" w:cstheme="minorHAnsi"/>
        </w:rPr>
        <w:t xml:space="preserve">Titchen A., McGinley M. (2003) </w:t>
      </w:r>
      <w:hyperlink r:id="rId8" w:history="1">
        <w:r w:rsidRPr="004779C8">
          <w:rPr>
            <w:rStyle w:val="Hyperlink"/>
            <w:rFonts w:asciiTheme="minorHAnsi" w:hAnsiTheme="minorHAnsi" w:cstheme="minorHAnsi"/>
          </w:rPr>
          <w:t>Facilitating practitioner-research through critical companionship</w:t>
        </w:r>
      </w:hyperlink>
      <w:r w:rsidRPr="004779C8">
        <w:rPr>
          <w:rFonts w:asciiTheme="minorHAnsi" w:hAnsiTheme="minorHAnsi" w:cstheme="minorHAnsi"/>
        </w:rPr>
        <w:t>. (Accessed 9/11/24</w:t>
      </w:r>
      <w:proofErr w:type="gramStart"/>
      <w:r w:rsidRPr="004779C8">
        <w:rPr>
          <w:rFonts w:asciiTheme="minorHAnsi" w:hAnsiTheme="minorHAnsi" w:cstheme="minorHAnsi"/>
        </w:rPr>
        <w:t xml:space="preserve">)  </w:t>
      </w:r>
      <w:proofErr w:type="spellStart"/>
      <w:r w:rsidRPr="004779C8">
        <w:rPr>
          <w:rFonts w:asciiTheme="minorHAnsi" w:hAnsiTheme="minorHAnsi" w:cstheme="minorHAnsi"/>
        </w:rPr>
        <w:t>NTResearch</w:t>
      </w:r>
      <w:proofErr w:type="spellEnd"/>
      <w:proofErr w:type="gramEnd"/>
      <w:r w:rsidRPr="004779C8">
        <w:rPr>
          <w:rFonts w:asciiTheme="minorHAnsi" w:hAnsiTheme="minorHAnsi" w:cstheme="minorHAnsi"/>
        </w:rPr>
        <w:t xml:space="preserve">, 8(2), 115-131. </w:t>
      </w:r>
    </w:p>
    <w:p w14:paraId="3B27D8CD" w14:textId="77777777" w:rsidR="004779C8" w:rsidRPr="004779C8" w:rsidRDefault="004779C8" w:rsidP="004779C8">
      <w:pPr>
        <w:suppressAutoHyphens w:val="0"/>
        <w:autoSpaceDN/>
        <w:spacing w:line="259" w:lineRule="auto"/>
        <w:textAlignment w:val="auto"/>
        <w:rPr>
          <w:rFonts w:asciiTheme="minorHAnsi" w:eastAsiaTheme="minorHAnsi" w:hAnsiTheme="minorHAnsi" w:cstheme="minorHAnsi"/>
        </w:rPr>
      </w:pPr>
      <w:r w:rsidRPr="004779C8">
        <w:rPr>
          <w:rFonts w:asciiTheme="minorHAnsi" w:eastAsiaTheme="minorHAnsi" w:hAnsiTheme="minorHAnsi" w:cstheme="minorHAnsi"/>
        </w:rPr>
        <w:t xml:space="preserve">Titchen A, Manley K. (2006) Spiralling towards transformational action research: philosophical and practical journeys, Educational Action Research 14(3) 333-35 </w:t>
      </w:r>
    </w:p>
    <w:p w14:paraId="32AF61C2" w14:textId="57039926" w:rsidR="004B54D3" w:rsidRPr="004779C8" w:rsidRDefault="004779C8" w:rsidP="004B54D3">
      <w:pPr>
        <w:pStyle w:val="Title"/>
        <w:jc w:val="left"/>
        <w:rPr>
          <w:rFonts w:asciiTheme="minorHAnsi" w:eastAsiaTheme="minorHAnsi" w:hAnsiTheme="minorHAnsi" w:cstheme="minorHAnsi"/>
          <w:b w:val="0"/>
          <w:bCs/>
          <w:sz w:val="22"/>
          <w:szCs w:val="22"/>
        </w:rPr>
      </w:pPr>
      <w:r w:rsidRPr="004779C8">
        <w:rPr>
          <w:rFonts w:asciiTheme="minorHAnsi" w:eastAsiaTheme="minorHAnsi" w:hAnsiTheme="minorHAnsi" w:cstheme="minorHAnsi"/>
          <w:b w:val="0"/>
          <w:bCs/>
          <w:sz w:val="22"/>
          <w:szCs w:val="22"/>
        </w:rPr>
        <w:t xml:space="preserve">Van </w:t>
      </w:r>
      <w:r w:rsidR="004B54D3" w:rsidRPr="004779C8">
        <w:rPr>
          <w:rFonts w:asciiTheme="minorHAnsi" w:eastAsiaTheme="minorHAnsi" w:hAnsiTheme="minorHAnsi" w:cstheme="minorHAnsi"/>
          <w:b w:val="0"/>
          <w:bCs/>
          <w:sz w:val="22"/>
          <w:szCs w:val="22"/>
        </w:rPr>
        <w:t>Lieshout, F</w:t>
      </w:r>
      <w:r w:rsidRPr="004779C8">
        <w:rPr>
          <w:rFonts w:asciiTheme="minorHAnsi" w:eastAsiaTheme="minorHAnsi" w:hAnsiTheme="minorHAnsi" w:cstheme="minorHAnsi"/>
          <w:b w:val="0"/>
          <w:bCs/>
          <w:sz w:val="22"/>
          <w:szCs w:val="22"/>
        </w:rPr>
        <w:t>.</w:t>
      </w:r>
      <w:r w:rsidR="004B54D3" w:rsidRPr="004779C8">
        <w:rPr>
          <w:rFonts w:asciiTheme="minorHAnsi" w:eastAsiaTheme="minorHAnsi" w:hAnsiTheme="minorHAnsi" w:cstheme="minorHAnsi"/>
          <w:b w:val="0"/>
          <w:bCs/>
          <w:sz w:val="22"/>
          <w:szCs w:val="22"/>
        </w:rPr>
        <w:t>, Peelo-Kilroe, L. (2021). Methodologies for Person-centred Nursing Research. Chapter 6 in: Person-centred Nursing Research: Methodology, Methods and Outcomes (eds. Dewing, J., McCormack, B., McCance, T.). pp 71-82. Springer.</w:t>
      </w:r>
    </w:p>
    <w:p w14:paraId="64B1E2FD" w14:textId="77777777" w:rsidR="004B54D3" w:rsidRPr="004779C8" w:rsidRDefault="004B54D3" w:rsidP="005A0A57">
      <w:pPr>
        <w:pStyle w:val="Title"/>
        <w:jc w:val="left"/>
        <w:rPr>
          <w:rFonts w:asciiTheme="minorHAnsi" w:eastAsiaTheme="minorHAnsi" w:hAnsiTheme="minorHAnsi" w:cstheme="minorHAnsi"/>
          <w:b w:val="0"/>
          <w:bCs/>
          <w:sz w:val="22"/>
          <w:szCs w:val="22"/>
        </w:rPr>
      </w:pPr>
    </w:p>
    <w:p w14:paraId="3A6FA6A5" w14:textId="77777777" w:rsidR="004B54D3" w:rsidRPr="004779C8" w:rsidRDefault="004B54D3" w:rsidP="004B54D3">
      <w:pPr>
        <w:suppressAutoHyphens w:val="0"/>
        <w:autoSpaceDN/>
        <w:spacing w:line="259" w:lineRule="auto"/>
        <w:textAlignment w:val="auto"/>
        <w:rPr>
          <w:rFonts w:asciiTheme="minorHAnsi" w:eastAsiaTheme="minorHAnsi" w:hAnsiTheme="minorHAnsi" w:cstheme="minorHAnsi"/>
        </w:rPr>
      </w:pPr>
      <w:r w:rsidRPr="004779C8">
        <w:rPr>
          <w:rFonts w:asciiTheme="minorHAnsi" w:eastAsiaTheme="minorHAnsi" w:hAnsiTheme="minorHAnsi" w:cstheme="minorHAnsi"/>
        </w:rPr>
        <w:t xml:space="preserve">Van Lieshout, F. &amp; Cardiff S. (2015) </w:t>
      </w:r>
      <w:hyperlink r:id="rId9" w:history="1">
        <w:r w:rsidRPr="004779C8">
          <w:rPr>
            <w:rStyle w:val="Hyperlink"/>
            <w:rFonts w:asciiTheme="minorHAnsi" w:eastAsiaTheme="minorHAnsi" w:hAnsiTheme="minorHAnsi" w:cstheme="minorHAnsi"/>
          </w:rPr>
          <w:t>Reflections on being and becoming a person-centred facilitator</w:t>
        </w:r>
      </w:hyperlink>
      <w:r w:rsidRPr="004779C8">
        <w:rPr>
          <w:rFonts w:asciiTheme="minorHAnsi" w:eastAsiaTheme="minorHAnsi" w:hAnsiTheme="minorHAnsi" w:cstheme="minorHAnsi"/>
        </w:rPr>
        <w:t xml:space="preserve">. International Practice Development Journal, 5(4) </w:t>
      </w:r>
    </w:p>
    <w:p w14:paraId="447F9EEF" w14:textId="77777777" w:rsidR="00C30D81" w:rsidRPr="004779C8" w:rsidRDefault="00C30D81">
      <w:pPr>
        <w:rPr>
          <w:rFonts w:asciiTheme="minorHAnsi" w:hAnsiTheme="minorHAnsi" w:cstheme="minorHAnsi"/>
        </w:rPr>
      </w:pPr>
    </w:p>
    <w:sectPr w:rsidR="00C30D81" w:rsidRPr="004779C8" w:rsidSect="00E46F5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EA"/>
    <w:rsid w:val="000932B2"/>
    <w:rsid w:val="000E7A80"/>
    <w:rsid w:val="0019009D"/>
    <w:rsid w:val="00217851"/>
    <w:rsid w:val="002547CE"/>
    <w:rsid w:val="00270EEA"/>
    <w:rsid w:val="002730EE"/>
    <w:rsid w:val="002D2825"/>
    <w:rsid w:val="00416E6C"/>
    <w:rsid w:val="004779C8"/>
    <w:rsid w:val="004B54D3"/>
    <w:rsid w:val="004E02A5"/>
    <w:rsid w:val="005A0A57"/>
    <w:rsid w:val="0072045D"/>
    <w:rsid w:val="00776893"/>
    <w:rsid w:val="00790588"/>
    <w:rsid w:val="007D6FDD"/>
    <w:rsid w:val="00950ADA"/>
    <w:rsid w:val="00A47438"/>
    <w:rsid w:val="00AD7FC3"/>
    <w:rsid w:val="00B104CB"/>
    <w:rsid w:val="00C30D81"/>
    <w:rsid w:val="00E46F5C"/>
    <w:rsid w:val="00E92810"/>
    <w:rsid w:val="00F96820"/>
    <w:rsid w:val="00FB7F2C"/>
    <w:rsid w:val="00FC7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B9BECA2"/>
  <w15:chartTrackingRefBased/>
  <w15:docId w15:val="{E82A89F2-FB53-B24A-A33F-5BDB56F2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EEA"/>
    <w:pPr>
      <w:suppressAutoHyphens/>
      <w:autoSpaceDN w:val="0"/>
      <w:spacing w:after="160" w:line="256" w:lineRule="auto"/>
      <w:textAlignment w:val="baseline"/>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932B2"/>
    <w:rPr>
      <w:color w:val="0000FF"/>
      <w:u w:val="single"/>
    </w:rPr>
  </w:style>
  <w:style w:type="character" w:styleId="FollowedHyperlink">
    <w:name w:val="FollowedHyperlink"/>
    <w:basedOn w:val="DefaultParagraphFont"/>
    <w:uiPriority w:val="99"/>
    <w:semiHidden/>
    <w:unhideWhenUsed/>
    <w:rsid w:val="000932B2"/>
    <w:rPr>
      <w:color w:val="954F72" w:themeColor="followedHyperlink"/>
      <w:u w:val="single"/>
    </w:rPr>
  </w:style>
  <w:style w:type="character" w:styleId="UnresolvedMention">
    <w:name w:val="Unresolved Mention"/>
    <w:basedOn w:val="DefaultParagraphFont"/>
    <w:uiPriority w:val="99"/>
    <w:semiHidden/>
    <w:unhideWhenUsed/>
    <w:rsid w:val="0072045D"/>
    <w:rPr>
      <w:color w:val="605E5C"/>
      <w:shd w:val="clear" w:color="auto" w:fill="E1DFDD"/>
    </w:rPr>
  </w:style>
  <w:style w:type="paragraph" w:styleId="Title">
    <w:name w:val="Title"/>
    <w:basedOn w:val="Normal"/>
    <w:link w:val="TitleChar"/>
    <w:qFormat/>
    <w:rsid w:val="00A47438"/>
    <w:pPr>
      <w:suppressAutoHyphens w:val="0"/>
      <w:autoSpaceDN/>
      <w:spacing w:after="0" w:line="240" w:lineRule="auto"/>
      <w:jc w:val="center"/>
      <w:textAlignment w:val="auto"/>
    </w:pPr>
    <w:rPr>
      <w:rFonts w:ascii="Times New Roman" w:eastAsia="Times New Roman" w:hAnsi="Times New Roman"/>
      <w:b/>
      <w:sz w:val="24"/>
      <w:szCs w:val="24"/>
      <w:lang w:eastAsia="en-GB"/>
    </w:rPr>
  </w:style>
  <w:style w:type="character" w:customStyle="1" w:styleId="TitleChar">
    <w:name w:val="Title Char"/>
    <w:basedOn w:val="DefaultParagraphFont"/>
    <w:link w:val="Title"/>
    <w:rsid w:val="00A47438"/>
    <w:rPr>
      <w:rFonts w:ascii="Times New Roman" w:eastAsia="Times New Roman" w:hAnsi="Times New Roman" w:cs="Times New Roman"/>
      <w:b/>
      <w:lang w:eastAsia="en-GB"/>
    </w:rPr>
  </w:style>
  <w:style w:type="character" w:styleId="Strong">
    <w:name w:val="Strong"/>
    <w:uiPriority w:val="22"/>
    <w:qFormat/>
    <w:rsid w:val="00416E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doi/10.1177/136140960300800205" TargetMode="External"/><Relationship Id="rId3" Type="http://schemas.openxmlformats.org/officeDocument/2006/relationships/webSettings" Target="webSettings.xml"/><Relationship Id="rId7" Type="http://schemas.openxmlformats.org/officeDocument/2006/relationships/hyperlink" Target="https://doi.org/10.19043/ipdj.121.00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332/174426421X16165177707227" TargetMode="External"/><Relationship Id="rId11" Type="http://schemas.openxmlformats.org/officeDocument/2006/relationships/theme" Target="theme/theme1.xml"/><Relationship Id="rId5" Type="http://schemas.openxmlformats.org/officeDocument/2006/relationships/hyperlink" Target="https://research-repository.st-andrews.ac.uk/bitstream/handle/10023/23201/Ward_2021_EP_Embedding_researchers_CC.pdf?sequence=1&amp;isAllowed=y" TargetMode="External"/><Relationship Id="rId10" Type="http://schemas.openxmlformats.org/officeDocument/2006/relationships/fontTable" Target="fontTable.xml"/><Relationship Id="rId4" Type="http://schemas.openxmlformats.org/officeDocument/2006/relationships/hyperlink" Target="https://www.cifor-icraf.org/publications/pdf_files/articles/ABelcher2103.pdf" TargetMode="External"/><Relationship Id="rId9" Type="http://schemas.openxmlformats.org/officeDocument/2006/relationships/hyperlink" Target="https://www.fons.org/library/journal/volume5-person-centredness-suppl/article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2</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Titchen</dc:creator>
  <cp:keywords/>
  <dc:description/>
  <cp:lastModifiedBy>Angie Titchen Titchen</cp:lastModifiedBy>
  <cp:revision>14</cp:revision>
  <dcterms:created xsi:type="dcterms:W3CDTF">2023-08-02T18:00:00Z</dcterms:created>
  <dcterms:modified xsi:type="dcterms:W3CDTF">2024-12-02T13:30:00Z</dcterms:modified>
</cp:coreProperties>
</file>