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2" w:type="pct"/>
        <w:tblLayout w:type="fixed"/>
        <w:tblCellMar>
          <w:left w:w="115" w:type="dxa"/>
          <w:right w:w="115" w:type="dxa"/>
        </w:tblCellMar>
        <w:tblLook w:val="0600" w:firstRow="0" w:lastRow="0" w:firstColumn="0" w:lastColumn="0" w:noHBand="1" w:noVBand="1"/>
      </w:tblPr>
      <w:tblGrid>
        <w:gridCol w:w="4720"/>
        <w:gridCol w:w="5400"/>
      </w:tblGrid>
      <w:tr w:rsidR="006B30E0" w:rsidTr="00941F12">
        <w:trPr>
          <w:trHeight w:val="369"/>
        </w:trPr>
        <w:tc>
          <w:tcPr>
            <w:tcW w:w="5000" w:type="pct"/>
            <w:gridSpan w:val="2"/>
          </w:tcPr>
          <w:p w:rsidR="006B30E0" w:rsidRDefault="006B30E0" w:rsidP="00B35542">
            <w:pPr>
              <w:pStyle w:val="NoSpacing"/>
              <w:spacing w:after="120" w:line="276" w:lineRule="auto"/>
              <w:jc w:val="center"/>
            </w:pPr>
            <w:bookmarkStart w:id="0" w:name="_GoBack"/>
            <w:bookmarkEnd w:id="0"/>
            <w:r w:rsidRPr="003F2347">
              <w:rPr>
                <w:rFonts w:ascii="Arial" w:hAnsi="Arial" w:cs="Arial"/>
                <w:b/>
                <w:color w:val="0070C0"/>
                <w:sz w:val="44"/>
                <w:szCs w:val="44"/>
              </w:rPr>
              <w:t>Project ASSENT</w:t>
            </w:r>
            <w:r>
              <w:rPr>
                <w:rFonts w:ascii="Arial" w:hAnsi="Arial" w:cs="Arial"/>
                <w:b/>
                <w:color w:val="0070C0"/>
                <w:sz w:val="44"/>
                <w:szCs w:val="44"/>
              </w:rPr>
              <w:t xml:space="preserve"> </w:t>
            </w:r>
            <w:r w:rsidR="00B35542">
              <w:rPr>
                <w:rFonts w:ascii="Arial" w:hAnsi="Arial" w:cs="Arial"/>
                <w:b/>
                <w:color w:val="0070C0"/>
                <w:sz w:val="44"/>
                <w:szCs w:val="44"/>
              </w:rPr>
              <w:t>September</w:t>
            </w:r>
            <w:r>
              <w:rPr>
                <w:rFonts w:ascii="Arial" w:hAnsi="Arial" w:cs="Arial"/>
                <w:b/>
                <w:color w:val="0070C0"/>
                <w:sz w:val="44"/>
                <w:szCs w:val="44"/>
              </w:rPr>
              <w:t xml:space="preserve"> Newsletter</w:t>
            </w:r>
          </w:p>
        </w:tc>
      </w:tr>
      <w:tr w:rsidR="006B30E0" w:rsidTr="00941F12">
        <w:trPr>
          <w:trHeight w:val="369"/>
        </w:trPr>
        <w:tc>
          <w:tcPr>
            <w:tcW w:w="5000" w:type="pct"/>
            <w:gridSpan w:val="2"/>
          </w:tcPr>
          <w:p w:rsidR="006B30E0" w:rsidRPr="003F2347" w:rsidRDefault="006B30E0" w:rsidP="00941F12">
            <w:pPr>
              <w:pStyle w:val="NoSpacing"/>
              <w:spacing w:after="120" w:line="276" w:lineRule="auto"/>
              <w:jc w:val="center"/>
              <w:rPr>
                <w:rFonts w:ascii="Arial" w:hAnsi="Arial" w:cs="Arial"/>
                <w:b/>
                <w:color w:val="0070C0"/>
                <w:sz w:val="44"/>
                <w:szCs w:val="44"/>
              </w:rPr>
            </w:pPr>
          </w:p>
        </w:tc>
      </w:tr>
      <w:tr w:rsidR="006B30E0" w:rsidTr="00941F12">
        <w:trPr>
          <w:trHeight w:val="649"/>
        </w:trPr>
        <w:tc>
          <w:tcPr>
            <w:tcW w:w="2332" w:type="pct"/>
          </w:tcPr>
          <w:p w:rsidR="006B30E0" w:rsidRPr="0089759D" w:rsidRDefault="006B30E0" w:rsidP="00941F12">
            <w:pPr>
              <w:pStyle w:val="NoSpacing"/>
              <w:spacing w:after="120" w:line="276" w:lineRule="auto"/>
              <w:rPr>
                <w:rFonts w:ascii="Arial" w:hAnsi="Arial" w:cs="Arial"/>
              </w:rPr>
            </w:pPr>
            <w:r>
              <w:rPr>
                <w:rFonts w:ascii="Arial" w:hAnsi="Arial" w:cs="Arial"/>
                <w:noProof/>
                <w:lang w:val="en-GB" w:eastAsia="en-GB"/>
              </w:rPr>
              <w:drawing>
                <wp:anchor distT="0" distB="0" distL="114300" distR="114300" simplePos="0" relativeHeight="251662336" behindDoc="1" locked="0" layoutInCell="1" allowOverlap="1">
                  <wp:simplePos x="0" y="0"/>
                  <wp:positionH relativeFrom="column">
                    <wp:posOffset>3175</wp:posOffset>
                  </wp:positionH>
                  <wp:positionV relativeFrom="paragraph">
                    <wp:posOffset>3810</wp:posOffset>
                  </wp:positionV>
                  <wp:extent cx="1232560" cy="1514475"/>
                  <wp:effectExtent l="0" t="0" r="5715" b="0"/>
                  <wp:wrapTight wrapText="bothSides">
                    <wp:wrapPolygon edited="0">
                      <wp:start x="0" y="0"/>
                      <wp:lineTo x="0" y="21192"/>
                      <wp:lineTo x="21366" y="21192"/>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letter ER.png"/>
                          <pic:cNvPicPr/>
                        </pic:nvPicPr>
                        <pic:blipFill>
                          <a:blip r:embed="rId6">
                            <a:extLst>
                              <a:ext uri="{28A0092B-C50C-407E-A947-70E740481C1C}">
                                <a14:useLocalDpi xmlns:a14="http://schemas.microsoft.com/office/drawing/2010/main" val="0"/>
                              </a:ext>
                            </a:extLst>
                          </a:blip>
                          <a:stretch>
                            <a:fillRect/>
                          </a:stretch>
                        </pic:blipFill>
                        <pic:spPr>
                          <a:xfrm>
                            <a:off x="0" y="0"/>
                            <a:ext cx="1232560" cy="1514475"/>
                          </a:xfrm>
                          <a:prstGeom prst="rect">
                            <a:avLst/>
                          </a:prstGeom>
                        </pic:spPr>
                      </pic:pic>
                    </a:graphicData>
                  </a:graphic>
                </wp:anchor>
              </w:drawing>
            </w:r>
            <w:r w:rsidRPr="0089759D">
              <w:rPr>
                <w:rFonts w:ascii="Arial" w:hAnsi="Arial" w:cs="Arial"/>
              </w:rPr>
              <w:t xml:space="preserve">This </w:t>
            </w:r>
            <w:r w:rsidR="00B07611">
              <w:rPr>
                <w:rFonts w:ascii="Arial" w:hAnsi="Arial" w:cs="Arial"/>
              </w:rPr>
              <w:t xml:space="preserve">is </w:t>
            </w:r>
            <w:r w:rsidRPr="0089759D">
              <w:rPr>
                <w:rFonts w:ascii="Arial" w:hAnsi="Arial" w:cs="Arial"/>
              </w:rPr>
              <w:t xml:space="preserve">the </w:t>
            </w:r>
            <w:r w:rsidR="00B35542">
              <w:rPr>
                <w:rFonts w:ascii="Arial" w:hAnsi="Arial" w:cs="Arial"/>
              </w:rPr>
              <w:t>second</w:t>
            </w:r>
            <w:r w:rsidRPr="0089759D">
              <w:rPr>
                <w:rFonts w:ascii="Arial" w:hAnsi="Arial" w:cs="Arial"/>
              </w:rPr>
              <w:t xml:space="preserve"> newsletter for our project</w:t>
            </w:r>
            <w:r w:rsidR="00B35542">
              <w:rPr>
                <w:rFonts w:ascii="Arial" w:hAnsi="Arial" w:cs="Arial"/>
              </w:rPr>
              <w:t xml:space="preserve"> ASSENT, which is </w:t>
            </w:r>
            <w:r w:rsidRPr="0089759D">
              <w:rPr>
                <w:rFonts w:ascii="Arial" w:hAnsi="Arial" w:cs="Arial"/>
              </w:rPr>
              <w:t>funded by the Nuffield Foundation (Law in Society Programme).</w:t>
            </w:r>
          </w:p>
          <w:p w:rsidR="006B30E0" w:rsidRDefault="006B30E0" w:rsidP="00941F12">
            <w:pPr>
              <w:pStyle w:val="Quote"/>
            </w:pPr>
          </w:p>
        </w:tc>
        <w:tc>
          <w:tcPr>
            <w:tcW w:w="2668" w:type="pct"/>
          </w:tcPr>
          <w:p w:rsidR="006B30E0" w:rsidRDefault="00B35542" w:rsidP="00941F12">
            <w:pPr>
              <w:pStyle w:val="NoSpacing"/>
              <w:spacing w:after="120" w:line="276" w:lineRule="auto"/>
              <w:rPr>
                <w:rFonts w:ascii="Arial" w:hAnsi="Arial" w:cs="Arial"/>
                <w:b/>
                <w:color w:val="FF6600"/>
                <w:sz w:val="28"/>
              </w:rPr>
            </w:pPr>
            <w:r>
              <w:rPr>
                <w:rFonts w:ascii="Arial" w:hAnsi="Arial" w:cs="Arial"/>
                <w:b/>
                <w:color w:val="FF6600"/>
                <w:sz w:val="28"/>
              </w:rPr>
              <w:t>Progress update</w:t>
            </w:r>
          </w:p>
          <w:p w:rsidR="006B30E0" w:rsidRPr="0089759D" w:rsidRDefault="00E219CC" w:rsidP="00B35542">
            <w:r>
              <w:rPr>
                <w:rFonts w:ascii="Arial" w:hAnsi="Arial" w:cs="Arial"/>
                <w:b/>
                <w:noProof/>
                <w:color w:val="FF6600"/>
                <w:sz w:val="28"/>
                <w:lang w:val="en-GB" w:eastAsia="en-GB"/>
              </w:rPr>
              <w:drawing>
                <wp:anchor distT="0" distB="0" distL="114300" distR="114300" simplePos="0" relativeHeight="251665408" behindDoc="1" locked="0" layoutInCell="1" allowOverlap="1">
                  <wp:simplePos x="0" y="0"/>
                  <wp:positionH relativeFrom="column">
                    <wp:posOffset>2006600</wp:posOffset>
                  </wp:positionH>
                  <wp:positionV relativeFrom="paragraph">
                    <wp:posOffset>822960</wp:posOffset>
                  </wp:positionV>
                  <wp:extent cx="1109980" cy="1012825"/>
                  <wp:effectExtent l="0" t="0" r="0" b="0"/>
                  <wp:wrapTight wrapText="bothSides">
                    <wp:wrapPolygon edited="0">
                      <wp:start x="0" y="0"/>
                      <wp:lineTo x="0" y="21126"/>
                      <wp:lineTo x="21130" y="21126"/>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nt logo - without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980" cy="1012825"/>
                          </a:xfrm>
                          <a:prstGeom prst="rect">
                            <a:avLst/>
                          </a:prstGeom>
                        </pic:spPr>
                      </pic:pic>
                    </a:graphicData>
                  </a:graphic>
                  <wp14:sizeRelH relativeFrom="margin">
                    <wp14:pctWidth>0</wp14:pctWidth>
                  </wp14:sizeRelH>
                  <wp14:sizeRelV relativeFrom="margin">
                    <wp14:pctHeight>0</wp14:pctHeight>
                  </wp14:sizeRelV>
                </wp:anchor>
              </w:drawing>
            </w:r>
            <w:r w:rsidR="00D5743B">
              <w:rPr>
                <w:rFonts w:ascii="Arial" w:hAnsi="Arial" w:cs="Arial"/>
              </w:rPr>
              <w:t xml:space="preserve">We have focused on stage 1 of </w:t>
            </w:r>
            <w:r w:rsidR="00B35542">
              <w:rPr>
                <w:rFonts w:ascii="Arial" w:hAnsi="Arial" w:cs="Arial"/>
              </w:rPr>
              <w:t>our project, which concerns the ethico-legal landscape for carrying our research in England and Wales</w:t>
            </w:r>
            <w:r w:rsidR="006B30E0" w:rsidRPr="0089759D">
              <w:rPr>
                <w:rFonts w:ascii="Arial" w:hAnsi="Arial" w:cs="Arial"/>
              </w:rPr>
              <w:t xml:space="preserve">.  </w:t>
            </w:r>
            <w:r w:rsidR="00D5743B">
              <w:rPr>
                <w:rFonts w:ascii="Arial" w:hAnsi="Arial" w:cs="Arial"/>
              </w:rPr>
              <w:t>Our Working Group has also been hard at work developing tools for stage 2 of our project. For further information – read on!</w:t>
            </w:r>
          </w:p>
        </w:tc>
      </w:tr>
    </w:tbl>
    <w:p w:rsidR="006B30E0" w:rsidRPr="0089759D" w:rsidRDefault="00912A28" w:rsidP="006B30E0">
      <w:pPr>
        <w:pStyle w:val="NoSpacing"/>
        <w:spacing w:after="120" w:line="276" w:lineRule="auto"/>
        <w:rPr>
          <w:rFonts w:ascii="Arial" w:hAnsi="Arial" w:cs="Arial"/>
          <w:b/>
          <w:color w:val="0070C0"/>
          <w:sz w:val="44"/>
          <w:szCs w:val="44"/>
        </w:rPr>
      </w:pPr>
      <w:r>
        <w:rPr>
          <w:rFonts w:ascii="Arial" w:hAnsi="Arial" w:cs="Arial"/>
          <w:b/>
          <w:color w:val="0070C0"/>
          <w:sz w:val="44"/>
          <w:szCs w:val="44"/>
        </w:rPr>
        <w:t>The</w:t>
      </w:r>
      <w:r w:rsidR="006B30E0" w:rsidRPr="0089759D">
        <w:rPr>
          <w:rFonts w:ascii="Arial" w:hAnsi="Arial" w:cs="Arial"/>
          <w:b/>
          <w:color w:val="0070C0"/>
          <w:sz w:val="44"/>
          <w:szCs w:val="44"/>
        </w:rPr>
        <w:t xml:space="preserve"> </w:t>
      </w:r>
      <w:r w:rsidR="003423B2">
        <w:rPr>
          <w:rFonts w:ascii="Arial" w:hAnsi="Arial" w:cs="Arial"/>
          <w:b/>
          <w:color w:val="0070C0"/>
          <w:sz w:val="44"/>
          <w:szCs w:val="44"/>
        </w:rPr>
        <w:t>Working Group</w:t>
      </w:r>
      <w:r w:rsidR="006B30E0" w:rsidRPr="0089759D">
        <w:rPr>
          <w:rFonts w:ascii="Arial" w:hAnsi="Arial" w:cs="Arial"/>
          <w:b/>
          <w:color w:val="0070C0"/>
          <w:sz w:val="44"/>
          <w:szCs w:val="44"/>
        </w:rPr>
        <w:t xml:space="preserve"> </w:t>
      </w:r>
    </w:p>
    <w:p w:rsidR="006B30E0" w:rsidRPr="00F441CC" w:rsidRDefault="006B30E0" w:rsidP="006B30E0">
      <w:pPr>
        <w:rPr>
          <w:rFonts w:cstheme="minorHAnsi"/>
          <w:i/>
          <w:color w:val="C45911" w:themeColor="accent2" w:themeShade="BF"/>
        </w:rPr>
      </w:pPr>
      <w:r w:rsidRPr="00F441CC">
        <w:rPr>
          <w:i/>
          <w:color w:val="C45911" w:themeColor="accent2" w:themeShade="BF"/>
        </w:rPr>
        <w:t xml:space="preserve">Our </w:t>
      </w:r>
      <w:r w:rsidR="003423B2" w:rsidRPr="00F441CC">
        <w:rPr>
          <w:i/>
          <w:color w:val="C45911" w:themeColor="accent2" w:themeShade="BF"/>
        </w:rPr>
        <w:t xml:space="preserve">working group is made up of </w:t>
      </w:r>
      <w:r w:rsidR="00F441CC" w:rsidRPr="00F441CC">
        <w:rPr>
          <w:i/>
          <w:color w:val="C45911" w:themeColor="accent2" w:themeShade="BF"/>
        </w:rPr>
        <w:t xml:space="preserve">experts-by experience </w:t>
      </w:r>
      <w:r w:rsidR="00F441CC">
        <w:rPr>
          <w:rFonts w:cstheme="minorHAnsi"/>
          <w:i/>
          <w:color w:val="C45911" w:themeColor="accent2" w:themeShade="BF"/>
        </w:rPr>
        <w:t>representing stakeholder interests, including</w:t>
      </w:r>
      <w:r w:rsidR="00F441CC" w:rsidRPr="00F441CC">
        <w:rPr>
          <w:rFonts w:cstheme="minorHAnsi"/>
          <w:i/>
          <w:color w:val="C45911" w:themeColor="accent2" w:themeShade="BF"/>
        </w:rPr>
        <w:t xml:space="preserve"> mental health disorders, aphasia after stroke, </w:t>
      </w:r>
      <w:r w:rsidR="00F441CC">
        <w:rPr>
          <w:rFonts w:cstheme="minorHAnsi"/>
          <w:i/>
          <w:color w:val="C45911" w:themeColor="accent2" w:themeShade="BF"/>
        </w:rPr>
        <w:t xml:space="preserve">head injury, </w:t>
      </w:r>
      <w:r w:rsidR="00F441CC" w:rsidRPr="00F441CC">
        <w:rPr>
          <w:rFonts w:cstheme="minorHAnsi"/>
          <w:i/>
          <w:color w:val="C45911" w:themeColor="accent2" w:themeShade="BF"/>
        </w:rPr>
        <w:t>intellectual disabilities, autistic spectrum conditions and dementia</w:t>
      </w:r>
      <w:r w:rsidR="00F441CC">
        <w:rPr>
          <w:rFonts w:cstheme="minorHAnsi"/>
          <w:i/>
          <w:color w:val="C45911" w:themeColor="accent2" w:themeShade="BF"/>
        </w:rPr>
        <w:t xml:space="preserve">. </w:t>
      </w:r>
      <w:r w:rsidR="00F441CC" w:rsidRPr="00F441CC">
        <w:rPr>
          <w:rFonts w:cstheme="minorHAnsi"/>
          <w:i/>
          <w:color w:val="C45911" w:themeColor="accent2" w:themeShade="BF"/>
        </w:rPr>
        <w:t xml:space="preserve"> </w:t>
      </w:r>
      <w:r w:rsidR="00F441CC">
        <w:rPr>
          <w:rFonts w:cstheme="minorHAnsi"/>
          <w:i/>
          <w:color w:val="C45911" w:themeColor="accent2" w:themeShade="BF"/>
        </w:rPr>
        <w:t xml:space="preserve">Representatives are </w:t>
      </w:r>
      <w:r w:rsidR="003423B2" w:rsidRPr="00F441CC">
        <w:rPr>
          <w:rFonts w:cstheme="minorHAnsi"/>
          <w:i/>
          <w:color w:val="C45911" w:themeColor="accent2" w:themeShade="BF"/>
        </w:rPr>
        <w:t xml:space="preserve">from local user-led </w:t>
      </w:r>
      <w:proofErr w:type="spellStart"/>
      <w:r w:rsidR="003423B2" w:rsidRPr="00F441CC">
        <w:rPr>
          <w:rFonts w:cstheme="minorHAnsi"/>
          <w:i/>
          <w:color w:val="C45911" w:themeColor="accent2" w:themeShade="BF"/>
        </w:rPr>
        <w:t>organisations</w:t>
      </w:r>
      <w:proofErr w:type="spellEnd"/>
      <w:r w:rsidR="003423B2" w:rsidRPr="00F441CC">
        <w:rPr>
          <w:rFonts w:cstheme="minorHAnsi"/>
          <w:i/>
          <w:color w:val="C45911" w:themeColor="accent2" w:themeShade="BF"/>
        </w:rPr>
        <w:t xml:space="preserve"> in Norwich</w:t>
      </w:r>
      <w:r w:rsidR="00F441CC">
        <w:rPr>
          <w:rFonts w:cstheme="minorHAnsi"/>
          <w:i/>
          <w:color w:val="C45911" w:themeColor="accent2" w:themeShade="BF"/>
        </w:rPr>
        <w:t xml:space="preserve"> or else </w:t>
      </w:r>
      <w:r w:rsidR="00F441CC" w:rsidRPr="00F441CC">
        <w:rPr>
          <w:rFonts w:cstheme="minorHAnsi"/>
          <w:i/>
          <w:color w:val="C45911" w:themeColor="accent2" w:themeShade="BF"/>
        </w:rPr>
        <w:t>individuals with</w:t>
      </w:r>
      <w:r w:rsidR="00F441CC">
        <w:rPr>
          <w:rFonts w:cstheme="minorHAnsi"/>
          <w:i/>
          <w:color w:val="C45911" w:themeColor="accent2" w:themeShade="BF"/>
        </w:rPr>
        <w:t xml:space="preserve"> already established connections to the University of East Anglia</w:t>
      </w:r>
      <w:r w:rsidRPr="00F441CC">
        <w:rPr>
          <w:rFonts w:cstheme="minorHAnsi"/>
          <w:i/>
          <w:color w:val="C45911" w:themeColor="accent2" w:themeShade="BF"/>
        </w:rPr>
        <w:t>.</w:t>
      </w:r>
    </w:p>
    <w:p w:rsidR="006B30E0" w:rsidRDefault="006B30E0" w:rsidP="006B30E0">
      <w:pPr>
        <w:spacing w:after="0"/>
        <w:sectPr w:rsidR="006B30E0" w:rsidSect="00881191">
          <w:headerReference w:type="default" r:id="rId8"/>
          <w:pgSz w:w="11906" w:h="16838"/>
          <w:pgMar w:top="1440" w:right="1080" w:bottom="1440" w:left="1080" w:header="708" w:footer="708" w:gutter="0"/>
          <w:cols w:space="708"/>
          <w:docGrid w:linePitch="360"/>
        </w:sectPr>
      </w:pPr>
    </w:p>
    <w:p w:rsidR="00F447F8" w:rsidRDefault="003423B2" w:rsidP="00F447F8">
      <w:pPr>
        <w:rPr>
          <w:rFonts w:ascii="Arial" w:hAnsi="Arial" w:cs="Arial"/>
        </w:rPr>
      </w:pPr>
      <w:r w:rsidRPr="003423B2">
        <w:rPr>
          <w:rFonts w:ascii="Arial" w:hAnsi="Arial" w:cs="Arial"/>
        </w:rPr>
        <w:t>The first block of Working Group</w:t>
      </w:r>
      <w:r w:rsidR="00F447F8">
        <w:rPr>
          <w:rFonts w:ascii="Arial" w:hAnsi="Arial" w:cs="Arial"/>
        </w:rPr>
        <w:t xml:space="preserve"> meeting</w:t>
      </w:r>
      <w:r w:rsidRPr="003423B2">
        <w:rPr>
          <w:rFonts w:ascii="Arial" w:hAnsi="Arial" w:cs="Arial"/>
        </w:rPr>
        <w:t xml:space="preserve">s took place </w:t>
      </w:r>
      <w:r w:rsidR="00F441CC">
        <w:rPr>
          <w:rFonts w:ascii="Arial" w:hAnsi="Arial" w:cs="Arial"/>
        </w:rPr>
        <w:t>in</w:t>
      </w:r>
      <w:r w:rsidRPr="003423B2">
        <w:rPr>
          <w:rFonts w:ascii="Arial" w:hAnsi="Arial" w:cs="Arial"/>
        </w:rPr>
        <w:t xml:space="preserve"> July. There were four meetings in total</w:t>
      </w:r>
      <w:r w:rsidR="0093096B">
        <w:rPr>
          <w:rFonts w:ascii="Arial" w:hAnsi="Arial" w:cs="Arial"/>
        </w:rPr>
        <w:t>. The</w:t>
      </w:r>
      <w:r w:rsidRPr="003423B2">
        <w:rPr>
          <w:rFonts w:ascii="Arial" w:hAnsi="Arial" w:cs="Arial"/>
        </w:rPr>
        <w:t xml:space="preserve"> </w:t>
      </w:r>
      <w:r w:rsidR="00F447F8">
        <w:rPr>
          <w:rFonts w:ascii="Arial" w:hAnsi="Arial" w:cs="Arial"/>
        </w:rPr>
        <w:t>group</w:t>
      </w:r>
      <w:r w:rsidRPr="003423B2">
        <w:rPr>
          <w:rFonts w:ascii="Arial" w:hAnsi="Arial" w:cs="Arial"/>
        </w:rPr>
        <w:t xml:space="preserve"> </w:t>
      </w:r>
      <w:r w:rsidR="0093096B">
        <w:rPr>
          <w:rFonts w:ascii="Arial" w:hAnsi="Arial" w:cs="Arial"/>
        </w:rPr>
        <w:t xml:space="preserve">attended to the co-production of research materials, including </w:t>
      </w:r>
      <w:r w:rsidRPr="003423B2">
        <w:rPr>
          <w:rFonts w:ascii="Arial" w:hAnsi="Arial" w:cs="Arial"/>
        </w:rPr>
        <w:t>the project’s information sheet, questionnaire and the interview topic guide</w:t>
      </w:r>
      <w:r w:rsidR="00F447F8" w:rsidRPr="00F447F8">
        <w:rPr>
          <w:rFonts w:ascii="Arial" w:hAnsi="Arial" w:cs="Arial"/>
        </w:rPr>
        <w:t xml:space="preserve"> </w:t>
      </w:r>
      <w:r w:rsidR="00F447F8">
        <w:rPr>
          <w:rFonts w:ascii="Arial" w:hAnsi="Arial" w:cs="Arial"/>
        </w:rPr>
        <w:t>with</w:t>
      </w:r>
      <w:r w:rsidR="00F447F8" w:rsidRPr="003423B2">
        <w:rPr>
          <w:rFonts w:ascii="Arial" w:hAnsi="Arial" w:cs="Arial"/>
        </w:rPr>
        <w:t xml:space="preserve"> questioning route</w:t>
      </w:r>
      <w:r w:rsidR="00F447F8">
        <w:rPr>
          <w:rFonts w:ascii="Arial" w:hAnsi="Arial" w:cs="Arial"/>
        </w:rPr>
        <w:t>.</w:t>
      </w:r>
      <w:r w:rsidRPr="003423B2">
        <w:rPr>
          <w:rFonts w:ascii="Arial" w:hAnsi="Arial" w:cs="Arial"/>
        </w:rPr>
        <w:t xml:space="preserve"> </w:t>
      </w:r>
    </w:p>
    <w:p w:rsidR="00F447F8" w:rsidRDefault="00F447F8" w:rsidP="00F447F8">
      <w:pPr>
        <w:rPr>
          <w:rFonts w:ascii="Arial" w:hAnsi="Arial" w:cs="Arial"/>
        </w:rPr>
      </w:pPr>
      <w:r>
        <w:rPr>
          <w:rFonts w:ascii="Arial" w:hAnsi="Arial" w:cs="Arial"/>
        </w:rPr>
        <w:t>The next block of meetings was scheduled for some months hence. In response to the concern expressed by members about the disruption to their working relation</w:t>
      </w:r>
      <w:r w:rsidRPr="003423B2">
        <w:rPr>
          <w:rFonts w:ascii="Arial" w:hAnsi="Arial" w:cs="Arial"/>
        </w:rPr>
        <w:t xml:space="preserve">s and </w:t>
      </w:r>
      <w:r>
        <w:rPr>
          <w:rFonts w:ascii="Arial" w:hAnsi="Arial" w:cs="Arial"/>
        </w:rPr>
        <w:t xml:space="preserve">their ongoing engagement with the project, we </w:t>
      </w:r>
      <w:proofErr w:type="spellStart"/>
      <w:r>
        <w:rPr>
          <w:rFonts w:ascii="Arial" w:hAnsi="Arial" w:cs="Arial"/>
        </w:rPr>
        <w:t>organised</w:t>
      </w:r>
      <w:proofErr w:type="spellEnd"/>
      <w:r>
        <w:rPr>
          <w:rFonts w:ascii="Arial" w:hAnsi="Arial" w:cs="Arial"/>
        </w:rPr>
        <w:t xml:space="preserve"> a series of update meetings every 3 months. This is so that the Working Group is kept up to date with project developments and has opportunities to ask questions, express opinions and </w:t>
      </w:r>
      <w:r w:rsidR="00912A28">
        <w:rPr>
          <w:rFonts w:ascii="Arial" w:hAnsi="Arial" w:cs="Arial"/>
        </w:rPr>
        <w:t>maintain their interest in the project</w:t>
      </w:r>
      <w:r>
        <w:rPr>
          <w:rFonts w:ascii="Arial" w:hAnsi="Arial" w:cs="Arial"/>
        </w:rPr>
        <w:t xml:space="preserve">.  </w:t>
      </w:r>
    </w:p>
    <w:p w:rsidR="00912A28" w:rsidRPr="00F447F8" w:rsidRDefault="00912A28" w:rsidP="00912A28">
      <w:pPr>
        <w:rPr>
          <w:rFonts w:ascii="Arial" w:hAnsi="Arial" w:cs="Arial"/>
          <w:b/>
          <w:color w:val="C45911" w:themeColor="accent2" w:themeShade="BF"/>
          <w:sz w:val="44"/>
        </w:rPr>
      </w:pPr>
      <w:r>
        <w:rPr>
          <w:rFonts w:ascii="Arial" w:hAnsi="Arial" w:cs="Arial"/>
          <w:b/>
          <w:color w:val="C45911" w:themeColor="accent2" w:themeShade="BF"/>
          <w:sz w:val="44"/>
        </w:rPr>
        <w:t>M</w:t>
      </w:r>
      <w:r w:rsidRPr="00F447F8">
        <w:rPr>
          <w:rFonts w:ascii="Arial" w:hAnsi="Arial" w:cs="Arial"/>
          <w:b/>
          <w:color w:val="C45911" w:themeColor="accent2" w:themeShade="BF"/>
          <w:sz w:val="44"/>
        </w:rPr>
        <w:t xml:space="preserve">aterials in accessible formats </w:t>
      </w:r>
    </w:p>
    <w:p w:rsidR="00912A28" w:rsidRPr="00912A28" w:rsidRDefault="009417EA" w:rsidP="00912A28">
      <w:pPr>
        <w:rPr>
          <w:rFonts w:ascii="Arial" w:hAnsi="Arial" w:cs="Arial"/>
        </w:rPr>
      </w:pPr>
      <w:r>
        <w:rPr>
          <w:rFonts w:ascii="Arial" w:hAnsi="Arial" w:cs="Arial"/>
          <w:noProof/>
          <w:color w:val="0000FF"/>
          <w:sz w:val="27"/>
          <w:szCs w:val="27"/>
          <w:lang w:val="en-GB" w:eastAsia="en-GB"/>
        </w:rPr>
        <w:drawing>
          <wp:anchor distT="0" distB="0" distL="114300" distR="114300" simplePos="0" relativeHeight="251666432" behindDoc="0" locked="0" layoutInCell="1" allowOverlap="1">
            <wp:simplePos x="0" y="0"/>
            <wp:positionH relativeFrom="column">
              <wp:posOffset>1899920</wp:posOffset>
            </wp:positionH>
            <wp:positionV relativeFrom="paragraph">
              <wp:posOffset>2131695</wp:posOffset>
            </wp:positionV>
            <wp:extent cx="829945" cy="762635"/>
            <wp:effectExtent l="0" t="0" r="8255" b="0"/>
            <wp:wrapSquare wrapText="bothSides"/>
            <wp:docPr id="3" name="Picture 3" descr="Image result for easy rea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y read">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82994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A28">
        <w:rPr>
          <w:rFonts w:ascii="Arial" w:hAnsi="Arial" w:cs="Arial"/>
        </w:rPr>
        <w:t>We</w:t>
      </w:r>
      <w:r w:rsidR="00912A28" w:rsidRPr="00912A28">
        <w:rPr>
          <w:rFonts w:ascii="Arial" w:hAnsi="Arial" w:cs="Arial"/>
        </w:rPr>
        <w:t xml:space="preserve"> aim to make materials in accessible formats so that everyone can </w:t>
      </w:r>
      <w:r>
        <w:rPr>
          <w:rFonts w:ascii="Arial" w:hAnsi="Arial" w:cs="Arial"/>
        </w:rPr>
        <w:t>hear about our project</w:t>
      </w:r>
      <w:r w:rsidR="00912A28" w:rsidRPr="00912A28">
        <w:rPr>
          <w:rFonts w:ascii="Arial" w:hAnsi="Arial" w:cs="Arial"/>
        </w:rPr>
        <w:t>. The Newsletter is available in Standard Text, Easy Read, Easy Text and Audio. All Working Group materials</w:t>
      </w:r>
      <w:r>
        <w:rPr>
          <w:rFonts w:ascii="Arial" w:hAnsi="Arial" w:cs="Arial"/>
        </w:rPr>
        <w:t xml:space="preserve"> </w:t>
      </w:r>
      <w:r w:rsidR="00912A28" w:rsidRPr="00912A28">
        <w:rPr>
          <w:rFonts w:ascii="Arial" w:hAnsi="Arial" w:cs="Arial"/>
        </w:rPr>
        <w:t xml:space="preserve">were created in each of these formats. </w:t>
      </w:r>
      <w:r w:rsidR="00912A28">
        <w:rPr>
          <w:rFonts w:ascii="Arial" w:hAnsi="Arial" w:cs="Arial"/>
        </w:rPr>
        <w:t>We</w:t>
      </w:r>
      <w:r>
        <w:rPr>
          <w:rFonts w:ascii="Arial" w:hAnsi="Arial" w:cs="Arial"/>
        </w:rPr>
        <w:t xml:space="preserve"> continually ask</w:t>
      </w:r>
      <w:r w:rsidR="00912A28" w:rsidRPr="00912A28">
        <w:rPr>
          <w:rFonts w:ascii="Arial" w:hAnsi="Arial" w:cs="Arial"/>
        </w:rPr>
        <w:t xml:space="preserve"> for feedback to ensure that they are meeting individual needs. For example, one Working Group member highlighted that they prefer pictures of people rather than the use of cartoons in Easy Read materials. </w:t>
      </w:r>
    </w:p>
    <w:p w:rsidR="0093096B" w:rsidRDefault="0093096B" w:rsidP="003423B2">
      <w:pPr>
        <w:rPr>
          <w:rFonts w:ascii="Arial" w:hAnsi="Arial" w:cs="Arial"/>
        </w:rPr>
      </w:pPr>
    </w:p>
    <w:tbl>
      <w:tblPr>
        <w:tblpPr w:leftFromText="180" w:rightFromText="180" w:vertAnchor="text" w:horzAnchor="margin" w:tblpY="-18"/>
        <w:tblW w:w="10841" w:type="pct"/>
        <w:tblLayout w:type="fixed"/>
        <w:tblCellMar>
          <w:left w:w="115" w:type="dxa"/>
          <w:right w:w="115" w:type="dxa"/>
        </w:tblCellMar>
        <w:tblLook w:val="0600" w:firstRow="0" w:lastRow="0" w:firstColumn="0" w:lastColumn="0" w:noHBand="1" w:noVBand="1"/>
      </w:tblPr>
      <w:tblGrid>
        <w:gridCol w:w="9798"/>
      </w:tblGrid>
      <w:tr w:rsidR="006B30E0" w:rsidTr="006B30E0">
        <w:trPr>
          <w:trHeight w:val="112"/>
        </w:trPr>
        <w:tc>
          <w:tcPr>
            <w:tcW w:w="5000" w:type="pct"/>
          </w:tcPr>
          <w:p w:rsidR="006B30E0" w:rsidRDefault="006B30E0" w:rsidP="006B30E0">
            <w:pPr>
              <w:pStyle w:val="NoSpacing"/>
              <w:spacing w:line="276" w:lineRule="auto"/>
              <w:rPr>
                <w:rFonts w:ascii="Arial" w:hAnsi="Arial" w:cs="Arial"/>
                <w:i/>
                <w:color w:val="FF6600"/>
              </w:rPr>
            </w:pPr>
          </w:p>
          <w:p w:rsidR="006B30E0" w:rsidRPr="00F447F8" w:rsidRDefault="0093096B" w:rsidP="006B30E0">
            <w:pPr>
              <w:pStyle w:val="NoSpacing"/>
              <w:spacing w:after="120" w:line="276" w:lineRule="auto"/>
              <w:rPr>
                <w:rFonts w:ascii="Arial" w:hAnsi="Arial" w:cs="Arial"/>
                <w:b/>
                <w:color w:val="ED7D31" w:themeColor="accent2"/>
                <w:sz w:val="44"/>
                <w:szCs w:val="44"/>
              </w:rPr>
            </w:pPr>
            <w:r w:rsidRPr="00F447F8">
              <w:rPr>
                <w:rFonts w:ascii="Arial" w:hAnsi="Arial" w:cs="Arial"/>
                <w:b/>
                <w:color w:val="ED7D31" w:themeColor="accent2"/>
                <w:sz w:val="44"/>
                <w:szCs w:val="44"/>
              </w:rPr>
              <w:t>Update on Stage 1 of Project ASSENT: the ethico-legal landscape</w:t>
            </w:r>
          </w:p>
          <w:p w:rsidR="006B30E0" w:rsidRDefault="006B30E0" w:rsidP="0093096B">
            <w:pPr>
              <w:pStyle w:val="ListParagraph"/>
              <w:ind w:left="360" w:hanging="360"/>
              <w:rPr>
                <w:rFonts w:ascii="Arial" w:hAnsi="Arial" w:cs="Arial"/>
                <w:i/>
                <w:color w:val="FF6600"/>
              </w:rPr>
            </w:pPr>
          </w:p>
          <w:p w:rsidR="0093096B" w:rsidRDefault="0093096B" w:rsidP="0093096B">
            <w:pPr>
              <w:pStyle w:val="NoSpacing"/>
              <w:spacing w:line="276" w:lineRule="auto"/>
              <w:rPr>
                <w:rFonts w:ascii="Arial" w:hAnsi="Arial" w:cs="Arial"/>
                <w:b/>
                <w:color w:val="0070C0"/>
              </w:rPr>
            </w:pPr>
            <w:r>
              <w:rPr>
                <w:rFonts w:ascii="Arial" w:hAnsi="Arial" w:cs="Arial"/>
                <w:b/>
                <w:color w:val="0070C0"/>
              </w:rPr>
              <w:t xml:space="preserve">1.1 </w:t>
            </w:r>
            <w:r w:rsidR="00C62CDE">
              <w:rPr>
                <w:rFonts w:ascii="Arial" w:hAnsi="Arial" w:cs="Arial"/>
                <w:b/>
                <w:color w:val="0070C0"/>
              </w:rPr>
              <w:t>G</w:t>
            </w:r>
            <w:r>
              <w:rPr>
                <w:rFonts w:ascii="Arial" w:hAnsi="Arial" w:cs="Arial"/>
                <w:b/>
                <w:color w:val="0070C0"/>
              </w:rPr>
              <w:t xml:space="preserve">uidance </w:t>
            </w:r>
            <w:r w:rsidR="00C62CDE">
              <w:rPr>
                <w:rFonts w:ascii="Arial" w:hAnsi="Arial" w:cs="Arial"/>
                <w:b/>
                <w:color w:val="0070C0"/>
              </w:rPr>
              <w:t>from the Health Research Authority (HRA)</w:t>
            </w:r>
          </w:p>
          <w:p w:rsidR="0093096B" w:rsidRPr="0093096B" w:rsidRDefault="0093096B" w:rsidP="0093096B">
            <w:pPr>
              <w:rPr>
                <w:rFonts w:ascii="Arial" w:hAnsi="Arial" w:cs="Arial"/>
              </w:rPr>
            </w:pPr>
            <w:r w:rsidRPr="0093096B">
              <w:rPr>
                <w:rFonts w:ascii="Arial" w:hAnsi="Arial" w:cs="Arial"/>
              </w:rPr>
              <w:t xml:space="preserve">We have looked at the current guidelines published by the </w:t>
            </w:r>
            <w:r w:rsidR="00C62CDE">
              <w:rPr>
                <w:rFonts w:ascii="Arial" w:hAnsi="Arial" w:cs="Arial"/>
              </w:rPr>
              <w:t>HRA</w:t>
            </w:r>
            <w:r w:rsidRPr="0093096B">
              <w:rPr>
                <w:rFonts w:ascii="Arial" w:hAnsi="Arial" w:cs="Arial"/>
              </w:rPr>
              <w:t xml:space="preserve"> on how to include adults with communication and/or understanding difficulties in research. </w:t>
            </w:r>
            <w:r w:rsidR="00C62CDE">
              <w:rPr>
                <w:rFonts w:ascii="Arial" w:hAnsi="Arial" w:cs="Arial"/>
              </w:rPr>
              <w:t xml:space="preserve">We wanted to see what support </w:t>
            </w:r>
            <w:proofErr w:type="gramStart"/>
            <w:r w:rsidR="00C62CDE">
              <w:rPr>
                <w:rFonts w:ascii="Arial" w:hAnsi="Arial" w:cs="Arial"/>
              </w:rPr>
              <w:t>was available and what kind of guidance</w:t>
            </w:r>
            <w:proofErr w:type="gramEnd"/>
            <w:r w:rsidR="00C62CDE">
              <w:rPr>
                <w:rFonts w:ascii="Arial" w:hAnsi="Arial" w:cs="Arial"/>
              </w:rPr>
              <w:t xml:space="preserve"> was provided for researchers. </w:t>
            </w:r>
          </w:p>
          <w:p w:rsidR="006B30E0" w:rsidRDefault="006B30E0" w:rsidP="006B30E0">
            <w:pPr>
              <w:pStyle w:val="NoSpacing"/>
              <w:spacing w:line="276" w:lineRule="auto"/>
              <w:ind w:left="709"/>
              <w:rPr>
                <w:rFonts w:ascii="Arial" w:hAnsi="Arial" w:cs="Arial"/>
              </w:rPr>
            </w:pPr>
          </w:p>
          <w:p w:rsidR="006B30E0" w:rsidRDefault="00C62CDE" w:rsidP="006B30E0">
            <w:pPr>
              <w:pStyle w:val="NoSpacing"/>
              <w:spacing w:line="276" w:lineRule="auto"/>
              <w:rPr>
                <w:rFonts w:ascii="Arial" w:hAnsi="Arial" w:cs="Arial"/>
                <w:b/>
                <w:color w:val="0070C0"/>
              </w:rPr>
            </w:pPr>
            <w:r>
              <w:rPr>
                <w:rFonts w:ascii="Arial" w:hAnsi="Arial" w:cs="Arial"/>
                <w:b/>
                <w:color w:val="0070C0"/>
              </w:rPr>
              <w:t>1.2  The law</w:t>
            </w:r>
          </w:p>
          <w:p w:rsidR="00C62CDE" w:rsidRPr="00C62CDE" w:rsidRDefault="00C62CDE" w:rsidP="00C62CDE">
            <w:pPr>
              <w:rPr>
                <w:rFonts w:ascii="Arial" w:hAnsi="Arial" w:cs="Arial"/>
              </w:rPr>
            </w:pPr>
            <w:r w:rsidRPr="00C62CDE">
              <w:rPr>
                <w:rFonts w:ascii="Arial" w:hAnsi="Arial" w:cs="Arial"/>
              </w:rPr>
              <w:t xml:space="preserve">We have begun work to consider how the current law supports the inclusion of adults with communication and/or understanding difficulties. As part of this work, </w:t>
            </w:r>
            <w:r>
              <w:rPr>
                <w:rFonts w:ascii="Arial" w:hAnsi="Arial" w:cs="Arial"/>
              </w:rPr>
              <w:t>we</w:t>
            </w:r>
            <w:r w:rsidRPr="00C62CDE">
              <w:rPr>
                <w:rFonts w:ascii="Arial" w:hAnsi="Arial" w:cs="Arial"/>
              </w:rPr>
              <w:t xml:space="preserve"> have accessed the parliam</w:t>
            </w:r>
            <w:r>
              <w:rPr>
                <w:rFonts w:ascii="Arial" w:hAnsi="Arial" w:cs="Arial"/>
              </w:rPr>
              <w:t>entary debates that le</w:t>
            </w:r>
            <w:r w:rsidRPr="00C62CDE">
              <w:rPr>
                <w:rFonts w:ascii="Arial" w:hAnsi="Arial" w:cs="Arial"/>
              </w:rPr>
              <w:t xml:space="preserve">d to the development of the Mental Capacity Act </w:t>
            </w:r>
            <w:r>
              <w:rPr>
                <w:rFonts w:ascii="Arial" w:hAnsi="Arial" w:cs="Arial"/>
              </w:rPr>
              <w:t>(</w:t>
            </w:r>
            <w:r w:rsidRPr="00C62CDE">
              <w:rPr>
                <w:rFonts w:ascii="Arial" w:hAnsi="Arial" w:cs="Arial"/>
              </w:rPr>
              <w:t>2005</w:t>
            </w:r>
            <w:r>
              <w:rPr>
                <w:rFonts w:ascii="Arial" w:hAnsi="Arial" w:cs="Arial"/>
              </w:rPr>
              <w:t>)</w:t>
            </w:r>
            <w:r w:rsidRPr="00C62CDE">
              <w:rPr>
                <w:rFonts w:ascii="Arial" w:hAnsi="Arial" w:cs="Arial"/>
              </w:rPr>
              <w:t xml:space="preserve"> and the Code of Practice. </w:t>
            </w:r>
          </w:p>
          <w:p w:rsidR="006B30E0" w:rsidRDefault="006B30E0" w:rsidP="00C62CDE">
            <w:pPr>
              <w:pStyle w:val="NoSpacing"/>
              <w:spacing w:line="276" w:lineRule="auto"/>
              <w:rPr>
                <w:rFonts w:ascii="Arial" w:hAnsi="Arial" w:cs="Arial"/>
              </w:rPr>
            </w:pPr>
          </w:p>
          <w:p w:rsidR="006B30E0" w:rsidRDefault="00C62CDE" w:rsidP="006B30E0">
            <w:pPr>
              <w:pStyle w:val="NoSpacing"/>
              <w:spacing w:line="276" w:lineRule="auto"/>
              <w:rPr>
                <w:rFonts w:ascii="Arial" w:hAnsi="Arial" w:cs="Arial"/>
                <w:b/>
                <w:color w:val="0070C0"/>
              </w:rPr>
            </w:pPr>
            <w:r>
              <w:rPr>
                <w:rFonts w:ascii="Arial" w:hAnsi="Arial" w:cs="Arial"/>
                <w:b/>
                <w:color w:val="0070C0"/>
              </w:rPr>
              <w:t>1.3 Literature review</w:t>
            </w:r>
          </w:p>
          <w:p w:rsidR="00C62CDE" w:rsidRPr="00C62CDE" w:rsidRDefault="00F447F8" w:rsidP="006B30E0">
            <w:pPr>
              <w:pStyle w:val="NoSpacing"/>
              <w:spacing w:line="276" w:lineRule="auto"/>
              <w:rPr>
                <w:rFonts w:ascii="Arial" w:hAnsi="Arial" w:cs="Arial"/>
                <w:color w:val="0070C0"/>
              </w:rPr>
            </w:pPr>
            <w:r w:rsidRPr="00F447F8">
              <w:rPr>
                <w:rFonts w:ascii="Arial" w:hAnsi="Arial" w:cs="Arial"/>
              </w:rPr>
              <w:t>We have been reviewing the research literature over a period of 10 years</w:t>
            </w:r>
            <w:r>
              <w:rPr>
                <w:rFonts w:ascii="Arial" w:hAnsi="Arial" w:cs="Arial"/>
              </w:rPr>
              <w:t xml:space="preserve">, </w:t>
            </w:r>
            <w:r w:rsidRPr="00F447F8">
              <w:rPr>
                <w:rFonts w:ascii="Arial" w:hAnsi="Arial" w:cs="Arial"/>
              </w:rPr>
              <w:t xml:space="preserve">looking for how </w:t>
            </w:r>
            <w:r w:rsidRPr="0093096B">
              <w:rPr>
                <w:rFonts w:ascii="Arial" w:hAnsi="Arial" w:cs="Arial"/>
              </w:rPr>
              <w:t xml:space="preserve">adults with communication and/or understanding difficulties </w:t>
            </w:r>
            <w:r>
              <w:rPr>
                <w:rFonts w:ascii="Arial" w:hAnsi="Arial" w:cs="Arial"/>
              </w:rPr>
              <w:t xml:space="preserve">have been included </w:t>
            </w:r>
            <w:r w:rsidRPr="0093096B">
              <w:rPr>
                <w:rFonts w:ascii="Arial" w:hAnsi="Arial" w:cs="Arial"/>
              </w:rPr>
              <w:t>in research</w:t>
            </w:r>
            <w:r>
              <w:rPr>
                <w:rFonts w:ascii="Arial" w:hAnsi="Arial" w:cs="Arial"/>
              </w:rPr>
              <w:t xml:space="preserve"> in relation to the mental Capacity Act (2005).</w:t>
            </w:r>
            <w:r>
              <w:rPr>
                <w:rFonts w:ascii="Arial" w:hAnsi="Arial" w:cs="Arial"/>
                <w:color w:val="0070C0"/>
              </w:rPr>
              <w:t xml:space="preserve">  </w:t>
            </w:r>
          </w:p>
          <w:p w:rsidR="006B30E0" w:rsidRPr="0089759D" w:rsidRDefault="006B30E0" w:rsidP="006B30E0">
            <w:pPr>
              <w:pStyle w:val="NoSpacing"/>
              <w:spacing w:line="276" w:lineRule="auto"/>
              <w:ind w:left="709"/>
              <w:rPr>
                <w:rFonts w:ascii="Arial" w:hAnsi="Arial" w:cs="Arial"/>
              </w:rPr>
            </w:pPr>
          </w:p>
        </w:tc>
      </w:tr>
      <w:tr w:rsidR="0093096B" w:rsidTr="006B30E0">
        <w:trPr>
          <w:trHeight w:val="112"/>
        </w:trPr>
        <w:tc>
          <w:tcPr>
            <w:tcW w:w="5000" w:type="pct"/>
          </w:tcPr>
          <w:p w:rsidR="0093096B" w:rsidRDefault="0093096B" w:rsidP="00912A28">
            <w:pPr>
              <w:rPr>
                <w:rFonts w:ascii="Arial" w:hAnsi="Arial" w:cs="Arial"/>
                <w:i/>
                <w:color w:val="FF6600"/>
              </w:rPr>
            </w:pPr>
          </w:p>
        </w:tc>
      </w:tr>
      <w:tr w:rsidR="0093096B" w:rsidTr="006B30E0">
        <w:trPr>
          <w:trHeight w:val="112"/>
        </w:trPr>
        <w:tc>
          <w:tcPr>
            <w:tcW w:w="5000" w:type="pct"/>
          </w:tcPr>
          <w:p w:rsidR="0093096B" w:rsidRDefault="0093096B" w:rsidP="006B30E0">
            <w:pPr>
              <w:pStyle w:val="NoSpacing"/>
              <w:spacing w:line="276" w:lineRule="auto"/>
              <w:rPr>
                <w:rFonts w:ascii="Arial" w:hAnsi="Arial" w:cs="Arial"/>
                <w:i/>
                <w:color w:val="FF6600"/>
              </w:rPr>
            </w:pPr>
          </w:p>
        </w:tc>
      </w:tr>
      <w:tr w:rsidR="0093096B" w:rsidTr="006B30E0">
        <w:trPr>
          <w:trHeight w:val="112"/>
        </w:trPr>
        <w:tc>
          <w:tcPr>
            <w:tcW w:w="5000" w:type="pct"/>
          </w:tcPr>
          <w:p w:rsidR="0093096B" w:rsidRDefault="0093096B" w:rsidP="006B30E0">
            <w:pPr>
              <w:pStyle w:val="NoSpacing"/>
              <w:spacing w:line="276" w:lineRule="auto"/>
              <w:rPr>
                <w:rFonts w:ascii="Arial" w:hAnsi="Arial" w:cs="Arial"/>
                <w:i/>
                <w:color w:val="FF6600"/>
              </w:rPr>
            </w:pPr>
          </w:p>
        </w:tc>
      </w:tr>
    </w:tbl>
    <w:p w:rsidR="006B30E0" w:rsidRDefault="006B30E0" w:rsidP="006B30E0">
      <w:pPr>
        <w:spacing w:after="0"/>
      </w:pPr>
    </w:p>
    <w:p w:rsidR="006B30E0" w:rsidRDefault="006B30E0" w:rsidP="006B30E0">
      <w:pPr>
        <w:spacing w:after="0"/>
      </w:pPr>
    </w:p>
    <w:p w:rsidR="006B30E0" w:rsidRDefault="006B30E0" w:rsidP="006B30E0">
      <w:pPr>
        <w:pStyle w:val="NoSpacing"/>
        <w:spacing w:line="276" w:lineRule="auto"/>
        <w:rPr>
          <w:rFonts w:ascii="Arial" w:hAnsi="Arial" w:cs="Arial"/>
          <w:b/>
          <w:color w:val="FF6600"/>
          <w:sz w:val="28"/>
        </w:rPr>
        <w:sectPr w:rsidR="006B30E0" w:rsidSect="00881191">
          <w:type w:val="continuous"/>
          <w:pgSz w:w="11906" w:h="16838"/>
          <w:pgMar w:top="1440" w:right="1080" w:bottom="1440" w:left="1080" w:header="708" w:footer="708" w:gutter="0"/>
          <w:cols w:num="2" w:space="708"/>
          <w:docGrid w:linePitch="360"/>
        </w:sectPr>
      </w:pPr>
    </w:p>
    <w:p w:rsidR="006B30E0" w:rsidRDefault="006B30E0" w:rsidP="006B30E0">
      <w:pPr>
        <w:pStyle w:val="NoSpacing"/>
        <w:spacing w:line="276" w:lineRule="auto"/>
        <w:rPr>
          <w:rFonts w:ascii="Arial" w:hAnsi="Arial" w:cs="Arial"/>
          <w:b/>
          <w:color w:val="FF6600"/>
          <w:sz w:val="28"/>
        </w:rPr>
      </w:pPr>
    </w:p>
    <w:p w:rsidR="006B30E0" w:rsidRDefault="006B30E0" w:rsidP="006B30E0">
      <w:pPr>
        <w:pStyle w:val="NoSpacing"/>
        <w:spacing w:line="276" w:lineRule="auto"/>
        <w:jc w:val="center"/>
        <w:rPr>
          <w:rFonts w:ascii="Arial" w:hAnsi="Arial" w:cs="Arial"/>
          <w:b/>
          <w:color w:val="FF6600"/>
          <w:sz w:val="28"/>
        </w:rPr>
      </w:pPr>
    </w:p>
    <w:p w:rsidR="006B30E0" w:rsidRPr="0089759D" w:rsidRDefault="006B30E0" w:rsidP="006B30E0">
      <w:pPr>
        <w:pStyle w:val="NoSpacing"/>
        <w:spacing w:line="276" w:lineRule="auto"/>
        <w:jc w:val="center"/>
        <w:rPr>
          <w:rFonts w:ascii="Arial" w:hAnsi="Arial" w:cs="Arial"/>
          <w:b/>
          <w:color w:val="FF6600"/>
          <w:sz w:val="28"/>
        </w:rPr>
      </w:pPr>
      <w:r>
        <w:rPr>
          <w:rFonts w:ascii="Arial" w:hAnsi="Arial"/>
          <w:noProof/>
          <w:color w:val="0000FF"/>
          <w:sz w:val="27"/>
          <w:szCs w:val="27"/>
          <w:lang w:val="en-GB" w:eastAsia="en-GB"/>
        </w:rPr>
        <w:drawing>
          <wp:anchor distT="0" distB="0" distL="114300" distR="114300" simplePos="0" relativeHeight="251664384" behindDoc="1" locked="0" layoutInCell="1" allowOverlap="1" wp14:anchorId="31990155" wp14:editId="55D4F6B7">
            <wp:simplePos x="0" y="0"/>
            <wp:positionH relativeFrom="column">
              <wp:posOffset>252095</wp:posOffset>
            </wp:positionH>
            <wp:positionV relativeFrom="paragraph">
              <wp:posOffset>15875</wp:posOffset>
            </wp:positionV>
            <wp:extent cx="1400175" cy="1283970"/>
            <wp:effectExtent l="0" t="0" r="9525" b="0"/>
            <wp:wrapTight wrapText="bothSides">
              <wp:wrapPolygon edited="0">
                <wp:start x="0" y="0"/>
                <wp:lineTo x="0" y="21151"/>
                <wp:lineTo x="21453" y="21151"/>
                <wp:lineTo x="21453" y="0"/>
                <wp:lineTo x="0" y="0"/>
              </wp:wrapPolygon>
            </wp:wrapTight>
            <wp:docPr id="7" name="Picture 7" descr="Image result for email">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ail">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759D">
        <w:rPr>
          <w:rFonts w:ascii="Arial" w:hAnsi="Arial" w:cs="Arial"/>
          <w:b/>
          <w:color w:val="FF6600"/>
          <w:sz w:val="28"/>
        </w:rPr>
        <w:t>Future Updates</w:t>
      </w:r>
    </w:p>
    <w:p w:rsidR="006B30E0" w:rsidRDefault="006B30E0" w:rsidP="006B30E0">
      <w:pPr>
        <w:pStyle w:val="NoSpacing"/>
        <w:spacing w:line="276" w:lineRule="auto"/>
        <w:jc w:val="center"/>
        <w:rPr>
          <w:rFonts w:ascii="Arial" w:hAnsi="Arial" w:cs="Arial"/>
        </w:rPr>
      </w:pPr>
      <w:r w:rsidRPr="00FE4DF6">
        <w:rPr>
          <w:rFonts w:ascii="Arial" w:hAnsi="Arial" w:cs="Arial"/>
        </w:rPr>
        <w:t>If you would like further information on our project, please contact Dan Leeson: D.Leeson@uea.ac.uk with your name, area of work/interest and contact details. We will send you our bi-monthly newsletter and keep you informed of project updates.</w:t>
      </w:r>
    </w:p>
    <w:p w:rsidR="001B5D45" w:rsidRDefault="001B5D45" w:rsidP="006B30E0">
      <w:pPr>
        <w:pStyle w:val="NoSpacing"/>
        <w:spacing w:line="276" w:lineRule="auto"/>
        <w:jc w:val="center"/>
        <w:rPr>
          <w:rFonts w:ascii="Arial" w:hAnsi="Arial" w:cs="Arial"/>
        </w:rPr>
      </w:pPr>
    </w:p>
    <w:p w:rsidR="001B5D45" w:rsidRPr="00936AB7" w:rsidRDefault="001B5D45" w:rsidP="006B30E0">
      <w:pPr>
        <w:pStyle w:val="NoSpacing"/>
        <w:spacing w:line="276" w:lineRule="auto"/>
        <w:jc w:val="center"/>
        <w:rPr>
          <w:rFonts w:ascii="Arial" w:hAnsi="Arial" w:cs="Arial"/>
        </w:rPr>
      </w:pPr>
    </w:p>
    <w:p w:rsidR="00FF4920" w:rsidRDefault="006B30E0" w:rsidP="00881191">
      <w:pPr>
        <w:pStyle w:val="NoSpacing"/>
        <w:jc w:val="center"/>
      </w:pPr>
      <w:r w:rsidRPr="00936AB7">
        <w:rPr>
          <w:i/>
          <w:noProof/>
          <w:color w:val="FF6600"/>
          <w:sz w:val="28"/>
          <w:szCs w:val="28"/>
          <w:lang w:eastAsia="en-GB"/>
        </w:rPr>
        <w:t xml:space="preserve">Thank you for reading the ASSENT </w:t>
      </w:r>
      <w:r w:rsidR="00912A28">
        <w:rPr>
          <w:i/>
          <w:noProof/>
          <w:color w:val="FF6600"/>
          <w:sz w:val="28"/>
          <w:szCs w:val="28"/>
          <w:lang w:eastAsia="en-GB"/>
        </w:rPr>
        <w:t>September</w:t>
      </w:r>
      <w:r w:rsidRPr="00936AB7">
        <w:rPr>
          <w:i/>
          <w:noProof/>
          <w:color w:val="FF6600"/>
          <w:sz w:val="28"/>
          <w:szCs w:val="28"/>
          <w:lang w:eastAsia="en-GB"/>
        </w:rPr>
        <w:t xml:space="preserve"> newsletter</w:t>
      </w:r>
    </w:p>
    <w:sectPr w:rsidR="00FF4920" w:rsidSect="0088119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0E0" w:rsidRDefault="006B30E0" w:rsidP="006B30E0">
      <w:pPr>
        <w:spacing w:after="0" w:line="240" w:lineRule="auto"/>
      </w:pPr>
      <w:r>
        <w:separator/>
      </w:r>
    </w:p>
  </w:endnote>
  <w:endnote w:type="continuationSeparator" w:id="0">
    <w:p w:rsidR="006B30E0" w:rsidRDefault="006B30E0" w:rsidP="006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0E0" w:rsidRDefault="006B30E0" w:rsidP="006B30E0">
      <w:pPr>
        <w:spacing w:after="0" w:line="240" w:lineRule="auto"/>
      </w:pPr>
      <w:r>
        <w:separator/>
      </w:r>
    </w:p>
  </w:footnote>
  <w:footnote w:type="continuationSeparator" w:id="0">
    <w:p w:rsidR="006B30E0" w:rsidRDefault="006B30E0" w:rsidP="006B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18" w:space="0" w:color="A5A5A5" w:themeColor="accent3"/>
        <w:right w:val="none" w:sz="0" w:space="0" w:color="auto"/>
        <w:insideH w:val="none" w:sz="0" w:space="0" w:color="auto"/>
        <w:insideV w:val="none" w:sz="0" w:space="0" w:color="auto"/>
      </w:tblBorders>
      <w:tblLook w:val="04A0" w:firstRow="1" w:lastRow="0" w:firstColumn="1" w:lastColumn="0" w:noHBand="0" w:noVBand="1"/>
    </w:tblPr>
    <w:tblGrid>
      <w:gridCol w:w="4801"/>
      <w:gridCol w:w="4945"/>
    </w:tblGrid>
    <w:tr w:rsidR="006B30E0" w:rsidTr="00941F12">
      <w:trPr>
        <w:cantSplit/>
        <w:trHeight w:hRule="exact" w:val="864"/>
      </w:trPr>
      <w:tc>
        <w:tcPr>
          <w:tcW w:w="5395" w:type="dxa"/>
          <w:vAlign w:val="center"/>
        </w:tcPr>
        <w:p w:rsidR="006B30E0" w:rsidRDefault="006B30E0" w:rsidP="006B30E0">
          <w:pPr>
            <w:pStyle w:val="Header"/>
          </w:pPr>
          <w:r>
            <w:rPr>
              <w:noProof/>
              <w:lang w:val="en-GB" w:eastAsia="en-GB"/>
            </w:rPr>
            <w:drawing>
              <wp:anchor distT="0" distB="0" distL="114300" distR="114300" simplePos="0" relativeHeight="251659264" behindDoc="0" locked="0" layoutInCell="1" allowOverlap="1" wp14:anchorId="5FA37B29" wp14:editId="1DB8AB0A">
                <wp:simplePos x="0" y="0"/>
                <wp:positionH relativeFrom="margin">
                  <wp:posOffset>-163830</wp:posOffset>
                </wp:positionH>
                <wp:positionV relativeFrom="paragraph">
                  <wp:posOffset>-382270</wp:posOffset>
                </wp:positionV>
                <wp:extent cx="1097915" cy="1070610"/>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nt logo - with text.jp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097915" cy="1070610"/>
                        </a:xfrm>
                        <a:prstGeom prst="rect">
                          <a:avLst/>
                        </a:prstGeom>
                      </pic:spPr>
                    </pic:pic>
                  </a:graphicData>
                </a:graphic>
                <wp14:sizeRelH relativeFrom="margin">
                  <wp14:pctWidth>0</wp14:pctWidth>
                </wp14:sizeRelH>
                <wp14:sizeRelV relativeFrom="margin">
                  <wp14:pctHeight>0</wp14:pctHeight>
                </wp14:sizeRelV>
              </wp:anchor>
            </w:drawing>
          </w:r>
        </w:p>
      </w:tc>
      <w:tc>
        <w:tcPr>
          <w:tcW w:w="5395" w:type="dxa"/>
          <w:vAlign w:val="center"/>
        </w:tcPr>
        <w:p w:rsidR="006B30E0" w:rsidRPr="006B30E0" w:rsidRDefault="006B30E0" w:rsidP="00B35542">
          <w:pPr>
            <w:pStyle w:val="Header"/>
            <w:jc w:val="right"/>
            <w:rPr>
              <w:sz w:val="28"/>
              <w:szCs w:val="28"/>
            </w:rPr>
          </w:pPr>
          <w:r w:rsidRPr="006B30E0">
            <w:rPr>
              <w:sz w:val="28"/>
              <w:szCs w:val="28"/>
            </w:rPr>
            <w:t xml:space="preserve">ASSENT </w:t>
          </w:r>
          <w:r w:rsidR="00B35542">
            <w:rPr>
              <w:sz w:val="28"/>
              <w:szCs w:val="28"/>
            </w:rPr>
            <w:t>September</w:t>
          </w:r>
          <w:r w:rsidRPr="006B30E0">
            <w:rPr>
              <w:sz w:val="28"/>
              <w:szCs w:val="28"/>
            </w:rPr>
            <w:t xml:space="preserve"> Newsletter 2018</w:t>
          </w:r>
        </w:p>
      </w:tc>
    </w:tr>
  </w:tbl>
  <w:p w:rsidR="006B30E0" w:rsidRDefault="006B3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E0"/>
    <w:rsid w:val="001B5D45"/>
    <w:rsid w:val="003423B2"/>
    <w:rsid w:val="005920F7"/>
    <w:rsid w:val="006B30E0"/>
    <w:rsid w:val="00881191"/>
    <w:rsid w:val="00912A28"/>
    <w:rsid w:val="0093096B"/>
    <w:rsid w:val="009417EA"/>
    <w:rsid w:val="00B07611"/>
    <w:rsid w:val="00B109CB"/>
    <w:rsid w:val="00B35542"/>
    <w:rsid w:val="00C62CDE"/>
    <w:rsid w:val="00D5743B"/>
    <w:rsid w:val="00E219CC"/>
    <w:rsid w:val="00F441CC"/>
    <w:rsid w:val="00F447F8"/>
    <w:rsid w:val="00FF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807DD-8D14-4BD5-8FFF-E6A76A75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0E0"/>
    <w:pPr>
      <w:spacing w:after="240" w:line="271"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B30E0"/>
    <w:pPr>
      <w:kinsoku w:val="0"/>
      <w:overflowPunct w:val="0"/>
      <w:spacing w:line="312" w:lineRule="auto"/>
    </w:pPr>
    <w:rPr>
      <w:color w:val="FFC000" w:themeColor="accent4"/>
    </w:rPr>
  </w:style>
  <w:style w:type="character" w:customStyle="1" w:styleId="QuoteChar">
    <w:name w:val="Quote Char"/>
    <w:basedOn w:val="DefaultParagraphFont"/>
    <w:link w:val="Quote"/>
    <w:uiPriority w:val="29"/>
    <w:rsid w:val="006B30E0"/>
    <w:rPr>
      <w:color w:val="FFC000" w:themeColor="accent4"/>
      <w:sz w:val="24"/>
      <w:szCs w:val="24"/>
      <w:lang w:val="en-US"/>
    </w:rPr>
  </w:style>
  <w:style w:type="paragraph" w:styleId="NoSpacing">
    <w:name w:val="No Spacing"/>
    <w:uiPriority w:val="1"/>
    <w:qFormat/>
    <w:rsid w:val="006B30E0"/>
    <w:pPr>
      <w:spacing w:after="0" w:line="240" w:lineRule="auto"/>
    </w:pPr>
    <w:rPr>
      <w:sz w:val="24"/>
      <w:szCs w:val="24"/>
      <w:lang w:val="en-US"/>
    </w:rPr>
  </w:style>
  <w:style w:type="paragraph" w:styleId="Header">
    <w:name w:val="header"/>
    <w:basedOn w:val="Normal"/>
    <w:link w:val="HeaderChar"/>
    <w:uiPriority w:val="99"/>
    <w:unhideWhenUsed/>
    <w:rsid w:val="006B3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0E0"/>
    <w:rPr>
      <w:sz w:val="24"/>
      <w:szCs w:val="24"/>
      <w:lang w:val="en-US"/>
    </w:rPr>
  </w:style>
  <w:style w:type="paragraph" w:styleId="Footer">
    <w:name w:val="footer"/>
    <w:basedOn w:val="Normal"/>
    <w:link w:val="FooterChar"/>
    <w:uiPriority w:val="99"/>
    <w:unhideWhenUsed/>
    <w:rsid w:val="006B3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0E0"/>
    <w:rPr>
      <w:sz w:val="24"/>
      <w:szCs w:val="24"/>
      <w:lang w:val="en-US"/>
    </w:rPr>
  </w:style>
  <w:style w:type="table" w:styleId="TableGrid">
    <w:name w:val="Table Grid"/>
    <w:basedOn w:val="TableNormal"/>
    <w:uiPriority w:val="39"/>
    <w:rsid w:val="006B30E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45"/>
    <w:rPr>
      <w:rFonts w:ascii="Segoe UI" w:hAnsi="Segoe UI" w:cs="Segoe UI"/>
      <w:sz w:val="18"/>
      <w:szCs w:val="18"/>
      <w:lang w:val="en-US"/>
    </w:rPr>
  </w:style>
  <w:style w:type="paragraph" w:styleId="ListParagraph">
    <w:name w:val="List Paragraph"/>
    <w:basedOn w:val="Normal"/>
    <w:uiPriority w:val="34"/>
    <w:qFormat/>
    <w:rsid w:val="0093096B"/>
    <w:pPr>
      <w:spacing w:after="160" w:line="259"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ogle.co.uk/url?sa=i&amp;rct=j&amp;q=&amp;esrc=s&amp;source=images&amp;cd=&amp;cad=rja&amp;uact=8&amp;ved=2ahUKEwiZnqOU2s3bAhULbRQKHczpBEIQjRx6BAgBEAU&amp;url=https://cheekymunkey.co.uk/how-to-recall-an-email/&amp;psig=AOvVaw2UFqEOLiavmLqkcsc616M1&amp;ust=1528878318064994"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www.google.co.uk/url?sa=i&amp;rct=j&amp;q=&amp;esrc=s&amp;source=images&amp;cd=&amp;cad=rja&amp;uact=8&amp;ved=2ahUKEwjOnq2gw-XdAhVEqxoKHYx-AX4QjRx6BAgBEAU&amp;url=http://www.mencapliverpool.org.uk/want-help/easy-read-services/&amp;psig=AOvVaw0RV57GCi-M7ZtH1YQ2BCJa&amp;ust=15384930100595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Ryan (HSC - Staff)</dc:creator>
  <cp:keywords/>
  <dc:description/>
  <cp:lastModifiedBy>Hayley Ryan (HSC - Staff)</cp:lastModifiedBy>
  <cp:revision>2</cp:revision>
  <cp:lastPrinted>2018-06-18T13:06:00Z</cp:lastPrinted>
  <dcterms:created xsi:type="dcterms:W3CDTF">2018-10-03T10:35:00Z</dcterms:created>
  <dcterms:modified xsi:type="dcterms:W3CDTF">2018-10-03T10:35:00Z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