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514E" w14:textId="77777777" w:rsidR="00613BC0" w:rsidRPr="00613BC0" w:rsidRDefault="00613BC0" w:rsidP="00613BC0">
      <w:pPr>
        <w:spacing w:line="360" w:lineRule="auto"/>
        <w:jc w:val="both"/>
        <w:rPr>
          <w:rFonts w:ascii="Arial" w:hAnsi="Arial" w:cs="Arial"/>
          <w:b/>
          <w:sz w:val="24"/>
          <w:szCs w:val="24"/>
        </w:rPr>
      </w:pPr>
    </w:p>
    <w:p w14:paraId="2CD1FD9F" w14:textId="3895EF89" w:rsidR="00C71836" w:rsidRPr="00613BC0" w:rsidRDefault="001D44B9" w:rsidP="33F3DB65">
      <w:pPr>
        <w:spacing w:line="360" w:lineRule="auto"/>
        <w:jc w:val="both"/>
        <w:rPr>
          <w:rFonts w:ascii="Arial" w:hAnsi="Arial" w:cs="Arial"/>
          <w:b/>
          <w:bCs/>
          <w:sz w:val="24"/>
          <w:szCs w:val="24"/>
        </w:rPr>
      </w:pPr>
      <w:r w:rsidRPr="33F3DB65">
        <w:rPr>
          <w:rFonts w:ascii="Arial" w:hAnsi="Arial" w:cs="Arial"/>
          <w:b/>
          <w:bCs/>
          <w:sz w:val="24"/>
          <w:szCs w:val="24"/>
        </w:rPr>
        <w:t xml:space="preserve">UEA Rationale for Use of Sub-contractors in the delivery of Apprenticeships. </w:t>
      </w:r>
      <w:r w:rsidR="00F87CFC">
        <w:rPr>
          <w:rFonts w:ascii="Arial" w:hAnsi="Arial" w:cs="Arial"/>
          <w:b/>
          <w:bCs/>
          <w:sz w:val="24"/>
          <w:szCs w:val="24"/>
        </w:rPr>
        <w:t>2024-25</w:t>
      </w:r>
    </w:p>
    <w:p w14:paraId="0EFB7FE7" w14:textId="77777777" w:rsidR="001D44B9" w:rsidRPr="00613BC0" w:rsidRDefault="001D44B9" w:rsidP="00613BC0">
      <w:pPr>
        <w:spacing w:line="360" w:lineRule="auto"/>
        <w:jc w:val="both"/>
        <w:rPr>
          <w:rFonts w:ascii="Arial" w:hAnsi="Arial" w:cs="Arial"/>
          <w:sz w:val="24"/>
          <w:szCs w:val="24"/>
        </w:rPr>
      </w:pPr>
      <w:r w:rsidRPr="00613BC0">
        <w:rPr>
          <w:rFonts w:ascii="Arial" w:hAnsi="Arial" w:cs="Arial"/>
          <w:sz w:val="24"/>
          <w:szCs w:val="24"/>
        </w:rPr>
        <w:t xml:space="preserve">Author: Sharon Davies </w:t>
      </w:r>
    </w:p>
    <w:p w14:paraId="61666ACD" w14:textId="595AA76A" w:rsidR="001D44B9" w:rsidRPr="00613BC0" w:rsidRDefault="001D44B9" w:rsidP="00613BC0">
      <w:pPr>
        <w:spacing w:line="360" w:lineRule="auto"/>
        <w:jc w:val="both"/>
        <w:rPr>
          <w:rFonts w:ascii="Arial" w:hAnsi="Arial" w:cs="Arial"/>
          <w:sz w:val="24"/>
          <w:szCs w:val="24"/>
        </w:rPr>
      </w:pPr>
      <w:r w:rsidRPr="33F3DB65">
        <w:rPr>
          <w:rFonts w:ascii="Arial" w:hAnsi="Arial" w:cs="Arial"/>
          <w:sz w:val="24"/>
          <w:szCs w:val="24"/>
        </w:rPr>
        <w:t xml:space="preserve">Date: </w:t>
      </w:r>
      <w:r w:rsidR="00775290" w:rsidRPr="33F3DB65">
        <w:rPr>
          <w:rFonts w:ascii="Arial" w:hAnsi="Arial" w:cs="Arial"/>
          <w:sz w:val="24"/>
          <w:szCs w:val="24"/>
        </w:rPr>
        <w:t>July 202</w:t>
      </w:r>
      <w:r w:rsidR="00F87CFC">
        <w:rPr>
          <w:rFonts w:ascii="Arial" w:hAnsi="Arial" w:cs="Arial"/>
          <w:sz w:val="24"/>
          <w:szCs w:val="24"/>
        </w:rPr>
        <w:t>4</w:t>
      </w:r>
    </w:p>
    <w:p w14:paraId="311C28EB" w14:textId="67E7879F" w:rsidR="001D44B9" w:rsidRPr="00613BC0" w:rsidRDefault="00613BC0" w:rsidP="00613BC0">
      <w:pPr>
        <w:spacing w:line="360" w:lineRule="auto"/>
        <w:jc w:val="both"/>
        <w:rPr>
          <w:rFonts w:ascii="Arial" w:hAnsi="Arial" w:cs="Arial"/>
          <w:sz w:val="24"/>
          <w:szCs w:val="24"/>
        </w:rPr>
      </w:pPr>
      <w:r w:rsidRPr="33F3DB65">
        <w:rPr>
          <w:rFonts w:ascii="Arial" w:hAnsi="Arial" w:cs="Arial"/>
          <w:sz w:val="24"/>
          <w:szCs w:val="24"/>
        </w:rPr>
        <w:t xml:space="preserve">Version: </w:t>
      </w:r>
      <w:r w:rsidR="00F87CFC">
        <w:rPr>
          <w:rFonts w:ascii="Arial" w:hAnsi="Arial" w:cs="Arial"/>
          <w:sz w:val="24"/>
          <w:szCs w:val="24"/>
        </w:rPr>
        <w:t>5</w:t>
      </w:r>
    </w:p>
    <w:p w14:paraId="205A8F2C" w14:textId="7571B734" w:rsidR="001D44B9" w:rsidRPr="00613BC0" w:rsidRDefault="001D44B9" w:rsidP="00613BC0">
      <w:pPr>
        <w:spacing w:line="360" w:lineRule="auto"/>
        <w:jc w:val="both"/>
        <w:rPr>
          <w:rFonts w:ascii="Arial" w:hAnsi="Arial" w:cs="Arial"/>
          <w:sz w:val="24"/>
          <w:szCs w:val="24"/>
        </w:rPr>
      </w:pPr>
      <w:r w:rsidRPr="00613BC0">
        <w:rPr>
          <w:rFonts w:ascii="Arial" w:hAnsi="Arial" w:cs="Arial"/>
          <w:b/>
          <w:sz w:val="24"/>
          <w:szCs w:val="24"/>
        </w:rPr>
        <w:t>Purpose:</w:t>
      </w:r>
      <w:r w:rsidRPr="00613BC0">
        <w:rPr>
          <w:rFonts w:ascii="Arial" w:hAnsi="Arial" w:cs="Arial"/>
          <w:sz w:val="24"/>
          <w:szCs w:val="24"/>
        </w:rPr>
        <w:t xml:space="preserve"> This Policy sets out the University's rationale for </w:t>
      </w:r>
      <w:r w:rsidR="002C7040" w:rsidRPr="00613BC0">
        <w:rPr>
          <w:rFonts w:ascii="Arial" w:hAnsi="Arial" w:cs="Arial"/>
          <w:sz w:val="24"/>
          <w:szCs w:val="24"/>
        </w:rPr>
        <w:t>subcontracting any part of its</w:t>
      </w:r>
      <w:r w:rsidRPr="00613BC0">
        <w:rPr>
          <w:rFonts w:ascii="Arial" w:hAnsi="Arial" w:cs="Arial"/>
          <w:sz w:val="24"/>
          <w:szCs w:val="24"/>
        </w:rPr>
        <w:t xml:space="preserve"> higher and degree apprenticeship provision. The policy and any updates are published on the UEA web site in accordance with the Education and Skills Funding Agency rules – as expressed in the Apprenticeship funding rules for main providers </w:t>
      </w:r>
      <w:r w:rsidR="00F87CFC">
        <w:rPr>
          <w:rFonts w:ascii="Arial" w:hAnsi="Arial" w:cs="Arial"/>
          <w:sz w:val="24"/>
          <w:szCs w:val="24"/>
        </w:rPr>
        <w:t>2024-25 Version 1</w:t>
      </w:r>
      <w:r w:rsidR="002C7040" w:rsidRPr="00613BC0">
        <w:rPr>
          <w:rFonts w:ascii="Arial" w:hAnsi="Arial" w:cs="Arial"/>
          <w:sz w:val="24"/>
          <w:szCs w:val="24"/>
        </w:rPr>
        <w:t xml:space="preserve">. </w:t>
      </w:r>
      <w:r w:rsidRPr="00613BC0">
        <w:rPr>
          <w:rFonts w:ascii="Arial" w:hAnsi="Arial" w:cs="Arial"/>
          <w:sz w:val="24"/>
          <w:szCs w:val="24"/>
        </w:rPr>
        <w:t xml:space="preserve"> </w:t>
      </w:r>
    </w:p>
    <w:p w14:paraId="4D334F9E" w14:textId="77777777" w:rsidR="001D44B9" w:rsidRPr="00613BC0" w:rsidRDefault="00613BC0" w:rsidP="00613BC0">
      <w:pPr>
        <w:spacing w:line="360" w:lineRule="auto"/>
        <w:jc w:val="both"/>
        <w:rPr>
          <w:rFonts w:ascii="Arial" w:hAnsi="Arial" w:cs="Arial"/>
          <w:b/>
          <w:sz w:val="24"/>
          <w:szCs w:val="24"/>
        </w:rPr>
      </w:pPr>
      <w:r>
        <w:rPr>
          <w:rFonts w:ascii="Arial" w:hAnsi="Arial" w:cs="Arial"/>
          <w:b/>
          <w:sz w:val="24"/>
          <w:szCs w:val="24"/>
        </w:rPr>
        <w:t>I</w:t>
      </w:r>
      <w:r w:rsidR="001D44B9" w:rsidRPr="00613BC0">
        <w:rPr>
          <w:rFonts w:ascii="Arial" w:hAnsi="Arial" w:cs="Arial"/>
          <w:b/>
          <w:sz w:val="24"/>
          <w:szCs w:val="24"/>
        </w:rPr>
        <w:t>ntroduction</w:t>
      </w:r>
    </w:p>
    <w:p w14:paraId="448248EC" w14:textId="77777777" w:rsidR="001D44B9" w:rsidRPr="00613BC0" w:rsidRDefault="001D44B9" w:rsidP="00613BC0">
      <w:pPr>
        <w:spacing w:line="360" w:lineRule="auto"/>
        <w:jc w:val="both"/>
        <w:rPr>
          <w:rFonts w:ascii="Arial" w:hAnsi="Arial" w:cs="Arial"/>
          <w:sz w:val="24"/>
          <w:szCs w:val="24"/>
        </w:rPr>
      </w:pPr>
      <w:r w:rsidRPr="00613BC0">
        <w:rPr>
          <w:rFonts w:ascii="Arial" w:hAnsi="Arial" w:cs="Arial"/>
          <w:sz w:val="24"/>
          <w:szCs w:val="24"/>
        </w:rPr>
        <w:t>University of East Anglia (UEA) started the delivery of higher and degree apprenticeships in February 2018 and continues to support employers to develop the skills of their workforce on the basis of business need. The provision of higher and degree apprenticeships fits into the strategies detailed in the University’s published plan and has led to the development of an Apprenticeship Strategy. The University is now delivering a number of higher and degree apprenticeships supported by funding administered by the Education and Skills Funding Agency ("ESFA").</w:t>
      </w:r>
    </w:p>
    <w:p w14:paraId="55346E7C" w14:textId="348C4D59" w:rsidR="001D44B9" w:rsidRPr="00613BC0" w:rsidRDefault="001D44B9" w:rsidP="00613BC0">
      <w:pPr>
        <w:spacing w:line="360" w:lineRule="auto"/>
        <w:jc w:val="both"/>
        <w:rPr>
          <w:rFonts w:ascii="Arial" w:hAnsi="Arial" w:cs="Arial"/>
          <w:sz w:val="24"/>
          <w:szCs w:val="24"/>
        </w:rPr>
      </w:pPr>
      <w:r w:rsidRPr="00613BC0">
        <w:rPr>
          <w:rFonts w:ascii="Arial" w:hAnsi="Arial" w:cs="Arial"/>
          <w:sz w:val="24"/>
          <w:szCs w:val="24"/>
        </w:rPr>
        <w:t xml:space="preserve">In accordance with the ESFA Funding Rules </w:t>
      </w:r>
      <w:r w:rsidR="00F87CFC">
        <w:rPr>
          <w:rFonts w:ascii="Arial" w:hAnsi="Arial" w:cs="Arial"/>
          <w:sz w:val="24"/>
          <w:szCs w:val="24"/>
        </w:rPr>
        <w:t xml:space="preserve">2024-25 </w:t>
      </w:r>
      <w:r w:rsidRPr="00613BC0">
        <w:rPr>
          <w:rFonts w:ascii="Arial" w:hAnsi="Arial" w:cs="Arial"/>
          <w:sz w:val="24"/>
          <w:szCs w:val="24"/>
        </w:rPr>
        <w:t>th</w:t>
      </w:r>
      <w:r w:rsidR="002C7040" w:rsidRPr="00613BC0">
        <w:rPr>
          <w:rFonts w:ascii="Arial" w:hAnsi="Arial" w:cs="Arial"/>
          <w:sz w:val="24"/>
          <w:szCs w:val="24"/>
        </w:rPr>
        <w:t xml:space="preserve">is policy defines the rationale </w:t>
      </w:r>
      <w:r w:rsidRPr="00613BC0">
        <w:rPr>
          <w:rFonts w:ascii="Arial" w:hAnsi="Arial" w:cs="Arial"/>
          <w:sz w:val="24"/>
          <w:szCs w:val="24"/>
        </w:rPr>
        <w:t xml:space="preserve">under which the University will subcontract ESFA funded higher and degree apprentice provision. </w:t>
      </w:r>
    </w:p>
    <w:p w14:paraId="577F6256" w14:textId="77777777" w:rsidR="001D44B9" w:rsidRPr="00613BC0" w:rsidRDefault="001D44B9" w:rsidP="00613BC0">
      <w:pPr>
        <w:spacing w:line="360" w:lineRule="auto"/>
        <w:jc w:val="both"/>
        <w:rPr>
          <w:rFonts w:ascii="Arial" w:hAnsi="Arial" w:cs="Arial"/>
          <w:b/>
          <w:sz w:val="24"/>
          <w:szCs w:val="24"/>
        </w:rPr>
      </w:pPr>
      <w:r w:rsidRPr="00613BC0">
        <w:rPr>
          <w:rFonts w:ascii="Arial" w:hAnsi="Arial" w:cs="Arial"/>
          <w:b/>
          <w:sz w:val="24"/>
          <w:szCs w:val="24"/>
        </w:rPr>
        <w:t>Rationale for subcontracting</w:t>
      </w:r>
    </w:p>
    <w:p w14:paraId="4CEC6E89" w14:textId="77777777" w:rsidR="002C7040" w:rsidRPr="00613BC0" w:rsidRDefault="001D44B9" w:rsidP="00613BC0">
      <w:pPr>
        <w:spacing w:line="360" w:lineRule="auto"/>
        <w:jc w:val="both"/>
        <w:rPr>
          <w:rFonts w:ascii="Arial" w:hAnsi="Arial" w:cs="Arial"/>
          <w:sz w:val="24"/>
          <w:szCs w:val="24"/>
        </w:rPr>
      </w:pPr>
      <w:r w:rsidRPr="00613BC0">
        <w:rPr>
          <w:rFonts w:ascii="Arial" w:hAnsi="Arial" w:cs="Arial"/>
          <w:sz w:val="24"/>
          <w:szCs w:val="24"/>
        </w:rPr>
        <w:t xml:space="preserve">The main reason that the University subcontracts higher and degree apprenticeship provision is to enhance the scope, reach and quality of our apprenticeship offer. The specific reasons for choosing to subcontract would be </w:t>
      </w:r>
      <w:r w:rsidR="002C7040" w:rsidRPr="00613BC0">
        <w:rPr>
          <w:rFonts w:ascii="Arial" w:hAnsi="Arial" w:cs="Arial"/>
          <w:sz w:val="24"/>
          <w:szCs w:val="24"/>
        </w:rPr>
        <w:t>at least one</w:t>
      </w:r>
      <w:r w:rsidRPr="00613BC0">
        <w:rPr>
          <w:rFonts w:ascii="Arial" w:hAnsi="Arial" w:cs="Arial"/>
          <w:sz w:val="24"/>
          <w:szCs w:val="24"/>
        </w:rPr>
        <w:t xml:space="preserve"> of the following:</w:t>
      </w:r>
    </w:p>
    <w:p w14:paraId="255949D3" w14:textId="77777777" w:rsidR="001D44B9" w:rsidRPr="00613BC0" w:rsidRDefault="00613BC0" w:rsidP="00613BC0">
      <w:pPr>
        <w:pStyle w:val="ListParagraph"/>
        <w:numPr>
          <w:ilvl w:val="0"/>
          <w:numId w:val="4"/>
        </w:numPr>
        <w:spacing w:line="360" w:lineRule="auto"/>
        <w:ind w:left="714" w:hanging="357"/>
        <w:jc w:val="both"/>
        <w:rPr>
          <w:rFonts w:ascii="Arial" w:hAnsi="Arial" w:cs="Arial"/>
          <w:sz w:val="24"/>
          <w:szCs w:val="24"/>
        </w:rPr>
      </w:pPr>
      <w:r>
        <w:rPr>
          <w:rFonts w:ascii="Arial" w:hAnsi="Arial" w:cs="Arial"/>
          <w:sz w:val="24"/>
          <w:szCs w:val="24"/>
        </w:rPr>
        <w:t>T</w:t>
      </w:r>
      <w:r w:rsidR="001D44B9" w:rsidRPr="00613BC0">
        <w:rPr>
          <w:rFonts w:ascii="Arial" w:hAnsi="Arial" w:cs="Arial"/>
          <w:sz w:val="24"/>
          <w:szCs w:val="24"/>
        </w:rPr>
        <w:t>hat a subcontractor would be able to provide access to specialist staff or other resources that would otherwise not be available</w:t>
      </w:r>
    </w:p>
    <w:p w14:paraId="6D71E523" w14:textId="77777777" w:rsidR="002C7040" w:rsidRPr="00613BC0" w:rsidRDefault="00613BC0" w:rsidP="00613BC0">
      <w:pPr>
        <w:pStyle w:val="ListParagraph"/>
        <w:numPr>
          <w:ilvl w:val="0"/>
          <w:numId w:val="4"/>
        </w:numPr>
        <w:spacing w:line="360" w:lineRule="auto"/>
        <w:ind w:left="714" w:hanging="357"/>
        <w:jc w:val="both"/>
        <w:rPr>
          <w:rFonts w:ascii="Arial" w:hAnsi="Arial" w:cs="Arial"/>
          <w:sz w:val="24"/>
          <w:szCs w:val="24"/>
        </w:rPr>
      </w:pPr>
      <w:r>
        <w:rPr>
          <w:rFonts w:ascii="Arial" w:hAnsi="Arial" w:cs="Arial"/>
          <w:sz w:val="24"/>
          <w:szCs w:val="24"/>
        </w:rPr>
        <w:lastRenderedPageBreak/>
        <w:t>T</w:t>
      </w:r>
      <w:r w:rsidR="002C7040" w:rsidRPr="00613BC0">
        <w:rPr>
          <w:rFonts w:ascii="Arial" w:hAnsi="Arial" w:cs="Arial"/>
          <w:sz w:val="24"/>
          <w:szCs w:val="24"/>
        </w:rPr>
        <w:t>hat a subcontractor could enhance learning opportunities for learners</w:t>
      </w:r>
    </w:p>
    <w:p w14:paraId="4570667A" w14:textId="77777777" w:rsidR="00613BC0" w:rsidRDefault="00613BC0" w:rsidP="00613BC0">
      <w:pPr>
        <w:pStyle w:val="ListParagraph"/>
        <w:numPr>
          <w:ilvl w:val="0"/>
          <w:numId w:val="4"/>
        </w:numPr>
        <w:spacing w:line="360" w:lineRule="auto"/>
        <w:ind w:left="714" w:hanging="357"/>
        <w:jc w:val="both"/>
        <w:rPr>
          <w:rFonts w:ascii="Arial" w:hAnsi="Arial" w:cs="Arial"/>
          <w:sz w:val="24"/>
          <w:szCs w:val="24"/>
        </w:rPr>
      </w:pPr>
      <w:r>
        <w:rPr>
          <w:rFonts w:ascii="Arial" w:hAnsi="Arial" w:cs="Arial"/>
          <w:sz w:val="24"/>
          <w:szCs w:val="24"/>
        </w:rPr>
        <w:t>T</w:t>
      </w:r>
      <w:r w:rsidR="001D44B9" w:rsidRPr="00613BC0">
        <w:rPr>
          <w:rFonts w:ascii="Arial" w:hAnsi="Arial" w:cs="Arial"/>
          <w:sz w:val="24"/>
          <w:szCs w:val="24"/>
        </w:rPr>
        <w:t xml:space="preserve">hat a subcontractor can widen access, participation and progression with groups that are hard to </w:t>
      </w:r>
      <w:proofErr w:type="gramStart"/>
      <w:r w:rsidR="001D44B9" w:rsidRPr="00613BC0">
        <w:rPr>
          <w:rFonts w:ascii="Arial" w:hAnsi="Arial" w:cs="Arial"/>
          <w:sz w:val="24"/>
          <w:szCs w:val="24"/>
        </w:rPr>
        <w:t>engage</w:t>
      </w:r>
      <w:proofErr w:type="gramEnd"/>
    </w:p>
    <w:p w14:paraId="04182C6B" w14:textId="77777777" w:rsidR="001D44B9" w:rsidRPr="00613BC0" w:rsidRDefault="00613BC0" w:rsidP="00613BC0">
      <w:pPr>
        <w:pStyle w:val="ListParagraph"/>
        <w:numPr>
          <w:ilvl w:val="0"/>
          <w:numId w:val="4"/>
        </w:numPr>
        <w:spacing w:line="360" w:lineRule="auto"/>
        <w:ind w:left="714" w:hanging="357"/>
        <w:jc w:val="both"/>
        <w:rPr>
          <w:rFonts w:ascii="Arial" w:hAnsi="Arial" w:cs="Arial"/>
          <w:sz w:val="24"/>
          <w:szCs w:val="24"/>
        </w:rPr>
      </w:pPr>
      <w:r>
        <w:rPr>
          <w:rFonts w:ascii="Arial" w:hAnsi="Arial" w:cs="Arial"/>
          <w:sz w:val="24"/>
          <w:szCs w:val="24"/>
        </w:rPr>
        <w:t>T</w:t>
      </w:r>
      <w:r w:rsidR="002C7040" w:rsidRPr="00613BC0">
        <w:rPr>
          <w:rFonts w:ascii="Arial" w:hAnsi="Arial" w:cs="Arial"/>
          <w:sz w:val="24"/>
          <w:szCs w:val="24"/>
        </w:rPr>
        <w:t xml:space="preserve">hat a subcontractor would be able to better support learners that are </w:t>
      </w:r>
      <w:r w:rsidR="001D44B9" w:rsidRPr="00613BC0">
        <w:rPr>
          <w:rFonts w:ascii="Arial" w:hAnsi="Arial" w:cs="Arial"/>
          <w:sz w:val="24"/>
          <w:szCs w:val="24"/>
        </w:rPr>
        <w:t xml:space="preserve">geographically removed from the University </w:t>
      </w:r>
    </w:p>
    <w:p w14:paraId="2E6CAD09" w14:textId="77777777" w:rsidR="002C7040" w:rsidRPr="00613BC0" w:rsidRDefault="002C7040" w:rsidP="00613BC0">
      <w:pPr>
        <w:spacing w:line="360" w:lineRule="auto"/>
        <w:jc w:val="both"/>
        <w:rPr>
          <w:rFonts w:ascii="Arial" w:hAnsi="Arial" w:cs="Arial"/>
          <w:sz w:val="24"/>
          <w:szCs w:val="24"/>
        </w:rPr>
      </w:pPr>
      <w:r w:rsidRPr="00613BC0">
        <w:rPr>
          <w:rFonts w:ascii="Arial" w:hAnsi="Arial" w:cs="Arial"/>
          <w:sz w:val="24"/>
          <w:szCs w:val="24"/>
        </w:rPr>
        <w:t>In addition to the reasons listed above the following rationale would be considered, but these reasons are</w:t>
      </w:r>
      <w:r w:rsidR="00111A51" w:rsidRPr="00613BC0">
        <w:rPr>
          <w:rFonts w:ascii="Arial" w:hAnsi="Arial" w:cs="Arial"/>
          <w:sz w:val="24"/>
          <w:szCs w:val="24"/>
        </w:rPr>
        <w:t xml:space="preserve"> considered </w:t>
      </w:r>
      <w:r w:rsidR="0095152B" w:rsidRPr="00613BC0">
        <w:rPr>
          <w:rFonts w:ascii="Arial" w:hAnsi="Arial" w:cs="Arial"/>
          <w:sz w:val="24"/>
          <w:szCs w:val="24"/>
        </w:rPr>
        <w:t>as secondary</w:t>
      </w:r>
      <w:r w:rsidRPr="00613BC0">
        <w:rPr>
          <w:rFonts w:ascii="Arial" w:hAnsi="Arial" w:cs="Arial"/>
          <w:sz w:val="24"/>
          <w:szCs w:val="24"/>
        </w:rPr>
        <w:t xml:space="preserve"> and would only be considered if at least one of the above was proven: </w:t>
      </w:r>
    </w:p>
    <w:p w14:paraId="1A36F389" w14:textId="77777777" w:rsidR="001D44B9" w:rsidRPr="00613BC0" w:rsidRDefault="00613BC0" w:rsidP="003474A1">
      <w:pPr>
        <w:pStyle w:val="ListParagraph"/>
        <w:numPr>
          <w:ilvl w:val="0"/>
          <w:numId w:val="5"/>
        </w:numPr>
        <w:spacing w:line="360" w:lineRule="auto"/>
        <w:ind w:left="714" w:hanging="357"/>
        <w:jc w:val="both"/>
        <w:rPr>
          <w:rFonts w:ascii="Arial" w:hAnsi="Arial" w:cs="Arial"/>
          <w:sz w:val="24"/>
          <w:szCs w:val="24"/>
        </w:rPr>
      </w:pPr>
      <w:r>
        <w:rPr>
          <w:rFonts w:ascii="Arial" w:hAnsi="Arial" w:cs="Arial"/>
          <w:sz w:val="24"/>
          <w:szCs w:val="24"/>
        </w:rPr>
        <w:t>T</w:t>
      </w:r>
      <w:r w:rsidR="001D44B9" w:rsidRPr="00613BC0">
        <w:rPr>
          <w:rFonts w:ascii="Arial" w:hAnsi="Arial" w:cs="Arial"/>
          <w:sz w:val="24"/>
          <w:szCs w:val="24"/>
        </w:rPr>
        <w:t xml:space="preserve">hat engaging with a particular subcontractor would bring benefits to the region in terms of business innovation and knowledge transfer with the University and its </w:t>
      </w:r>
      <w:proofErr w:type="gramStart"/>
      <w:r w:rsidR="001D44B9" w:rsidRPr="00613BC0">
        <w:rPr>
          <w:rFonts w:ascii="Arial" w:hAnsi="Arial" w:cs="Arial"/>
          <w:sz w:val="24"/>
          <w:szCs w:val="24"/>
        </w:rPr>
        <w:t>stakeholders</w:t>
      </w:r>
      <w:proofErr w:type="gramEnd"/>
    </w:p>
    <w:p w14:paraId="49298A43" w14:textId="77777777" w:rsidR="001D44B9" w:rsidRPr="00613BC0" w:rsidRDefault="00613BC0" w:rsidP="003474A1">
      <w:pPr>
        <w:pStyle w:val="ListParagraph"/>
        <w:numPr>
          <w:ilvl w:val="0"/>
          <w:numId w:val="5"/>
        </w:numPr>
        <w:spacing w:line="360" w:lineRule="auto"/>
        <w:ind w:left="714" w:hanging="357"/>
        <w:jc w:val="both"/>
        <w:rPr>
          <w:rFonts w:ascii="Arial" w:hAnsi="Arial" w:cs="Arial"/>
          <w:sz w:val="24"/>
          <w:szCs w:val="24"/>
        </w:rPr>
      </w:pPr>
      <w:r>
        <w:rPr>
          <w:rFonts w:ascii="Arial" w:hAnsi="Arial" w:cs="Arial"/>
          <w:sz w:val="24"/>
          <w:szCs w:val="24"/>
        </w:rPr>
        <w:t>A</w:t>
      </w:r>
      <w:r w:rsidR="001D44B9" w:rsidRPr="00613BC0">
        <w:rPr>
          <w:rFonts w:ascii="Arial" w:hAnsi="Arial" w:cs="Arial"/>
          <w:sz w:val="24"/>
          <w:szCs w:val="24"/>
        </w:rPr>
        <w:t>s a result of a joint bid or similar for higher and degree apprenticeship funding in which the University was the lead provider (for example to meet the needs of particular employers/ sectors or particular potential apprentices)</w:t>
      </w:r>
    </w:p>
    <w:p w14:paraId="59AA0EB8" w14:textId="77777777" w:rsidR="001D44B9" w:rsidRPr="00613BC0" w:rsidRDefault="00613BC0" w:rsidP="003474A1">
      <w:pPr>
        <w:pStyle w:val="ListParagraph"/>
        <w:numPr>
          <w:ilvl w:val="0"/>
          <w:numId w:val="5"/>
        </w:numPr>
        <w:spacing w:line="360" w:lineRule="auto"/>
        <w:ind w:left="714" w:hanging="357"/>
        <w:jc w:val="both"/>
        <w:rPr>
          <w:rFonts w:ascii="Arial" w:hAnsi="Arial" w:cs="Arial"/>
          <w:sz w:val="24"/>
          <w:szCs w:val="24"/>
        </w:rPr>
      </w:pPr>
      <w:r>
        <w:rPr>
          <w:rFonts w:ascii="Arial" w:hAnsi="Arial" w:cs="Arial"/>
          <w:sz w:val="24"/>
          <w:szCs w:val="24"/>
        </w:rPr>
        <w:t>T</w:t>
      </w:r>
      <w:r w:rsidR="001D44B9" w:rsidRPr="00613BC0">
        <w:rPr>
          <w:rFonts w:ascii="Arial" w:hAnsi="Arial" w:cs="Arial"/>
          <w:sz w:val="24"/>
          <w:szCs w:val="24"/>
        </w:rPr>
        <w:t xml:space="preserve">o satisfy particular needs (of employers/ apprentices/ main provider) related to scope, reach or quality of apprenticeship </w:t>
      </w:r>
      <w:r w:rsidR="002C7040" w:rsidRPr="00613BC0">
        <w:rPr>
          <w:rFonts w:ascii="Arial" w:hAnsi="Arial" w:cs="Arial"/>
          <w:sz w:val="24"/>
          <w:szCs w:val="24"/>
        </w:rPr>
        <w:t xml:space="preserve">training provision. </w:t>
      </w:r>
    </w:p>
    <w:p w14:paraId="6C0395A3" w14:textId="77777777" w:rsidR="001D44B9" w:rsidRPr="00613BC0" w:rsidRDefault="001D44B9" w:rsidP="00613BC0">
      <w:pPr>
        <w:spacing w:line="360" w:lineRule="auto"/>
        <w:jc w:val="both"/>
        <w:rPr>
          <w:rFonts w:ascii="Arial" w:hAnsi="Arial" w:cs="Arial"/>
          <w:sz w:val="24"/>
          <w:szCs w:val="24"/>
        </w:rPr>
      </w:pPr>
      <w:r w:rsidRPr="00613BC0">
        <w:rPr>
          <w:rFonts w:ascii="Arial" w:hAnsi="Arial" w:cs="Arial"/>
          <w:sz w:val="24"/>
          <w:szCs w:val="24"/>
        </w:rPr>
        <w:t>The University is a national and international higher education provider and therefore it may decide to subcontract outside its region in order to work with organisations that will enhance the delivery of parti</w:t>
      </w:r>
      <w:r w:rsidR="00F50DA8" w:rsidRPr="00613BC0">
        <w:rPr>
          <w:rFonts w:ascii="Arial" w:hAnsi="Arial" w:cs="Arial"/>
          <w:sz w:val="24"/>
          <w:szCs w:val="24"/>
        </w:rPr>
        <w:t xml:space="preserve">cular educational/ skills needs, thus providing better geographical access for learners where there is no local provision of an apprenticeship standard. </w:t>
      </w:r>
    </w:p>
    <w:p w14:paraId="60908486" w14:textId="77777777" w:rsidR="00CC26ED" w:rsidRPr="00613BC0" w:rsidRDefault="00CC26ED" w:rsidP="00613BC0">
      <w:pPr>
        <w:spacing w:line="360" w:lineRule="auto"/>
        <w:jc w:val="both"/>
        <w:rPr>
          <w:rFonts w:ascii="Arial" w:hAnsi="Arial" w:cs="Arial"/>
          <w:b/>
          <w:sz w:val="24"/>
          <w:szCs w:val="24"/>
        </w:rPr>
      </w:pPr>
      <w:r w:rsidRPr="00613BC0">
        <w:rPr>
          <w:rFonts w:ascii="Arial" w:hAnsi="Arial" w:cs="Arial"/>
          <w:b/>
          <w:sz w:val="24"/>
          <w:szCs w:val="24"/>
        </w:rPr>
        <w:t>Governance of subcontracting agreements</w:t>
      </w:r>
    </w:p>
    <w:p w14:paraId="233901B1" w14:textId="77777777" w:rsidR="00CC26ED" w:rsidRPr="00613BC0" w:rsidRDefault="00CC26ED" w:rsidP="00613BC0">
      <w:pPr>
        <w:spacing w:line="360" w:lineRule="auto"/>
        <w:jc w:val="both"/>
        <w:rPr>
          <w:rFonts w:ascii="Arial" w:hAnsi="Arial" w:cs="Arial"/>
          <w:sz w:val="24"/>
          <w:szCs w:val="24"/>
        </w:rPr>
      </w:pPr>
      <w:r w:rsidRPr="00613BC0">
        <w:rPr>
          <w:rFonts w:ascii="Arial" w:hAnsi="Arial" w:cs="Arial"/>
          <w:sz w:val="24"/>
          <w:szCs w:val="24"/>
        </w:rPr>
        <w:t xml:space="preserve">Existing subcontracted arrangements are reviewed at regular intervals by the University Apprenticeship Governance Committee to ensure quality of provision and contract monitoring is robust. In addition, operational subcontracting arrangements are overseen by both School and Faculty Executive committees and progress is reported to the University Learning and Teaching Committee. </w:t>
      </w:r>
    </w:p>
    <w:p w14:paraId="5D02A430" w14:textId="77777777" w:rsidR="00CC26ED" w:rsidRPr="00613BC0" w:rsidRDefault="00CC26ED" w:rsidP="00613BC0">
      <w:pPr>
        <w:spacing w:line="360" w:lineRule="auto"/>
        <w:jc w:val="both"/>
        <w:rPr>
          <w:rFonts w:ascii="Arial" w:hAnsi="Arial" w:cs="Arial"/>
          <w:sz w:val="24"/>
          <w:szCs w:val="24"/>
        </w:rPr>
      </w:pPr>
      <w:r w:rsidRPr="00613BC0">
        <w:rPr>
          <w:rFonts w:ascii="Arial" w:hAnsi="Arial" w:cs="Arial"/>
          <w:sz w:val="24"/>
          <w:szCs w:val="24"/>
        </w:rPr>
        <w:t xml:space="preserve">Renewal of existing contracts are tested against the rationale stated above and contracts are renewed only where this provides the best learning experience; </w:t>
      </w:r>
      <w:proofErr w:type="gramStart"/>
      <w:r w:rsidRPr="00613BC0">
        <w:rPr>
          <w:rFonts w:ascii="Arial" w:hAnsi="Arial" w:cs="Arial"/>
          <w:sz w:val="24"/>
          <w:szCs w:val="24"/>
        </w:rPr>
        <w:t>were</w:t>
      </w:r>
      <w:proofErr w:type="gramEnd"/>
      <w:r w:rsidRPr="00613BC0">
        <w:rPr>
          <w:rFonts w:ascii="Arial" w:hAnsi="Arial" w:cs="Arial"/>
          <w:sz w:val="24"/>
          <w:szCs w:val="24"/>
        </w:rPr>
        <w:t xml:space="preserve"> the University can best meet the rationale set out above </w:t>
      </w:r>
      <w:r w:rsidR="00BB1960" w:rsidRPr="00613BC0">
        <w:rPr>
          <w:rFonts w:ascii="Arial" w:hAnsi="Arial" w:cs="Arial"/>
          <w:sz w:val="24"/>
          <w:szCs w:val="24"/>
        </w:rPr>
        <w:t>existing</w:t>
      </w:r>
      <w:r w:rsidRPr="00613BC0">
        <w:rPr>
          <w:rFonts w:ascii="Arial" w:hAnsi="Arial" w:cs="Arial"/>
          <w:sz w:val="24"/>
          <w:szCs w:val="24"/>
        </w:rPr>
        <w:t xml:space="preserve"> contracts will be </w:t>
      </w:r>
      <w:r w:rsidR="00BB1960" w:rsidRPr="00613BC0">
        <w:rPr>
          <w:rFonts w:ascii="Arial" w:hAnsi="Arial" w:cs="Arial"/>
          <w:sz w:val="24"/>
          <w:szCs w:val="24"/>
        </w:rPr>
        <w:t xml:space="preserve">fulfilled </w:t>
      </w:r>
      <w:r w:rsidRPr="00613BC0">
        <w:rPr>
          <w:rFonts w:ascii="Arial" w:hAnsi="Arial" w:cs="Arial"/>
          <w:sz w:val="24"/>
          <w:szCs w:val="24"/>
        </w:rPr>
        <w:t xml:space="preserve">and new cohorts will be </w:t>
      </w:r>
      <w:r w:rsidR="00BB1960" w:rsidRPr="00613BC0">
        <w:rPr>
          <w:rFonts w:ascii="Arial" w:hAnsi="Arial" w:cs="Arial"/>
          <w:sz w:val="24"/>
          <w:szCs w:val="24"/>
        </w:rPr>
        <w:t xml:space="preserve">delivered directly by the University. </w:t>
      </w:r>
    </w:p>
    <w:p w14:paraId="4961AAD1" w14:textId="77777777" w:rsidR="00613BC0" w:rsidRDefault="00111A51" w:rsidP="00613BC0">
      <w:pPr>
        <w:spacing w:line="360" w:lineRule="auto"/>
        <w:jc w:val="both"/>
        <w:rPr>
          <w:rFonts w:ascii="Arial" w:hAnsi="Arial" w:cs="Arial"/>
          <w:sz w:val="24"/>
          <w:szCs w:val="24"/>
        </w:rPr>
      </w:pPr>
      <w:r w:rsidRPr="00613BC0">
        <w:rPr>
          <w:rFonts w:ascii="Arial" w:hAnsi="Arial" w:cs="Arial"/>
          <w:sz w:val="24"/>
          <w:szCs w:val="24"/>
        </w:rPr>
        <w:lastRenderedPageBreak/>
        <w:t xml:space="preserve">New subcontracted requests </w:t>
      </w:r>
      <w:r w:rsidR="00B23A6E" w:rsidRPr="00613BC0">
        <w:rPr>
          <w:rFonts w:ascii="Arial" w:hAnsi="Arial" w:cs="Arial"/>
          <w:sz w:val="24"/>
          <w:szCs w:val="24"/>
        </w:rPr>
        <w:t>from Schools of Study will be submitted</w:t>
      </w:r>
      <w:r w:rsidRPr="00613BC0">
        <w:rPr>
          <w:rFonts w:ascii="Arial" w:hAnsi="Arial" w:cs="Arial"/>
          <w:sz w:val="24"/>
          <w:szCs w:val="24"/>
        </w:rPr>
        <w:t xml:space="preserve"> to the UEA Apprenticeship Governance Committee for consideration and will need to provide evidence that they meet the rationale above. Any additions approved by the committee will be reported to the UEA Learning and Teaching Committee. </w:t>
      </w:r>
      <w:r w:rsidR="00B23A6E" w:rsidRPr="00613BC0">
        <w:rPr>
          <w:rFonts w:ascii="Arial" w:hAnsi="Arial" w:cs="Arial"/>
          <w:sz w:val="24"/>
          <w:szCs w:val="24"/>
        </w:rPr>
        <w:t xml:space="preserve">Approvals will then </w:t>
      </w:r>
      <w:proofErr w:type="gramStart"/>
      <w:r w:rsidR="00B23A6E" w:rsidRPr="00613BC0">
        <w:rPr>
          <w:rFonts w:ascii="Arial" w:hAnsi="Arial" w:cs="Arial"/>
          <w:sz w:val="24"/>
          <w:szCs w:val="24"/>
        </w:rPr>
        <w:t>follow</w:t>
      </w:r>
      <w:proofErr w:type="gramEnd"/>
      <w:r w:rsidR="00B23A6E" w:rsidRPr="00613BC0">
        <w:rPr>
          <w:rFonts w:ascii="Arial" w:hAnsi="Arial" w:cs="Arial"/>
          <w:sz w:val="24"/>
          <w:szCs w:val="24"/>
        </w:rPr>
        <w:t xml:space="preserve"> </w:t>
      </w:r>
    </w:p>
    <w:p w14:paraId="42E2E48C" w14:textId="12B42B8A" w:rsidR="00111A51" w:rsidRPr="00613BC0" w:rsidRDefault="00B23A6E" w:rsidP="44DF4F55">
      <w:pPr>
        <w:spacing w:line="360" w:lineRule="auto"/>
        <w:jc w:val="both"/>
        <w:rPr>
          <w:rFonts w:ascii="Arial" w:hAnsi="Arial" w:cs="Arial"/>
          <w:b/>
          <w:bCs/>
          <w:sz w:val="24"/>
          <w:szCs w:val="24"/>
        </w:rPr>
      </w:pPr>
      <w:r w:rsidRPr="44DF4F55">
        <w:rPr>
          <w:rFonts w:ascii="Arial" w:hAnsi="Arial" w:cs="Arial"/>
          <w:b/>
          <w:bCs/>
          <w:sz w:val="24"/>
          <w:szCs w:val="24"/>
        </w:rPr>
        <w:t xml:space="preserve">UEA Published Arrangements for Sub-contracting </w:t>
      </w:r>
      <w:r w:rsidR="00F87CFC">
        <w:rPr>
          <w:rFonts w:ascii="Arial" w:hAnsi="Arial" w:cs="Arial"/>
          <w:b/>
          <w:bCs/>
          <w:sz w:val="24"/>
          <w:szCs w:val="24"/>
        </w:rPr>
        <w:t>2024-25</w:t>
      </w:r>
    </w:p>
    <w:p w14:paraId="1566B9C9" w14:textId="24F70555" w:rsidR="00111A51" w:rsidRPr="00613BC0" w:rsidRDefault="003913B0" w:rsidP="00613BC0">
      <w:pPr>
        <w:spacing w:line="360" w:lineRule="auto"/>
        <w:jc w:val="both"/>
        <w:rPr>
          <w:rFonts w:ascii="Arial" w:hAnsi="Arial" w:cs="Arial"/>
          <w:sz w:val="24"/>
          <w:szCs w:val="24"/>
        </w:rPr>
      </w:pPr>
      <w:r w:rsidRPr="44DF4F55">
        <w:rPr>
          <w:rFonts w:ascii="Arial" w:hAnsi="Arial" w:cs="Arial"/>
          <w:sz w:val="24"/>
          <w:szCs w:val="24"/>
        </w:rPr>
        <w:t xml:space="preserve">The </w:t>
      </w:r>
      <w:r w:rsidR="004F712B" w:rsidRPr="44DF4F55">
        <w:rPr>
          <w:rFonts w:ascii="Arial" w:hAnsi="Arial" w:cs="Arial"/>
          <w:sz w:val="24"/>
          <w:szCs w:val="24"/>
        </w:rPr>
        <w:t xml:space="preserve">updated </w:t>
      </w:r>
      <w:r w:rsidR="00111A51" w:rsidRPr="44DF4F55">
        <w:rPr>
          <w:rFonts w:ascii="Arial" w:hAnsi="Arial" w:cs="Arial"/>
          <w:sz w:val="24"/>
          <w:szCs w:val="24"/>
        </w:rPr>
        <w:t>Apprenticeship Strategy</w:t>
      </w:r>
      <w:r w:rsidRPr="44DF4F55">
        <w:rPr>
          <w:rFonts w:ascii="Arial" w:hAnsi="Arial" w:cs="Arial"/>
          <w:sz w:val="24"/>
          <w:szCs w:val="24"/>
        </w:rPr>
        <w:t xml:space="preserve">, approved in </w:t>
      </w:r>
      <w:r w:rsidR="00613BC0" w:rsidRPr="44DF4F55">
        <w:rPr>
          <w:rFonts w:ascii="Arial" w:hAnsi="Arial" w:cs="Arial"/>
          <w:sz w:val="24"/>
          <w:szCs w:val="24"/>
        </w:rPr>
        <w:t>the 202</w:t>
      </w:r>
      <w:r w:rsidR="004F712B" w:rsidRPr="44DF4F55">
        <w:rPr>
          <w:rFonts w:ascii="Arial" w:hAnsi="Arial" w:cs="Arial"/>
          <w:sz w:val="24"/>
          <w:szCs w:val="24"/>
        </w:rPr>
        <w:t>1</w:t>
      </w:r>
      <w:r w:rsidR="00613BC0" w:rsidRPr="44DF4F55">
        <w:rPr>
          <w:rFonts w:ascii="Arial" w:hAnsi="Arial" w:cs="Arial"/>
          <w:sz w:val="24"/>
          <w:szCs w:val="24"/>
        </w:rPr>
        <w:t>/2</w:t>
      </w:r>
      <w:r w:rsidR="004F712B" w:rsidRPr="44DF4F55">
        <w:rPr>
          <w:rFonts w:ascii="Arial" w:hAnsi="Arial" w:cs="Arial"/>
          <w:sz w:val="24"/>
          <w:szCs w:val="24"/>
        </w:rPr>
        <w:t>2</w:t>
      </w:r>
      <w:r w:rsidR="00613BC0" w:rsidRPr="44DF4F55">
        <w:rPr>
          <w:rFonts w:ascii="Arial" w:hAnsi="Arial" w:cs="Arial"/>
          <w:sz w:val="24"/>
          <w:szCs w:val="24"/>
        </w:rPr>
        <w:t xml:space="preserve"> academic year c</w:t>
      </w:r>
      <w:r w:rsidRPr="44DF4F55">
        <w:rPr>
          <w:rFonts w:ascii="Arial" w:hAnsi="Arial" w:cs="Arial"/>
          <w:sz w:val="24"/>
          <w:szCs w:val="24"/>
        </w:rPr>
        <w:t>ontain</w:t>
      </w:r>
      <w:r w:rsidR="00497643">
        <w:rPr>
          <w:rFonts w:ascii="Arial" w:hAnsi="Arial" w:cs="Arial"/>
          <w:sz w:val="24"/>
          <w:szCs w:val="24"/>
        </w:rPr>
        <w:t>ed</w:t>
      </w:r>
      <w:r w:rsidRPr="44DF4F55">
        <w:rPr>
          <w:rFonts w:ascii="Arial" w:hAnsi="Arial" w:cs="Arial"/>
          <w:sz w:val="24"/>
          <w:szCs w:val="24"/>
        </w:rPr>
        <w:t xml:space="preserve"> a commitment to </w:t>
      </w:r>
      <w:r w:rsidR="00111A51" w:rsidRPr="44DF4F55">
        <w:rPr>
          <w:rFonts w:ascii="Arial" w:hAnsi="Arial" w:cs="Arial"/>
          <w:sz w:val="24"/>
          <w:szCs w:val="24"/>
        </w:rPr>
        <w:t xml:space="preserve">reduce subcontracted arrangements for Apprenticeships. </w:t>
      </w:r>
    </w:p>
    <w:p w14:paraId="20F20F37" w14:textId="77777777" w:rsidR="00C04A71" w:rsidRPr="00613BC0" w:rsidRDefault="00C04A71" w:rsidP="00613BC0">
      <w:pPr>
        <w:spacing w:line="360" w:lineRule="auto"/>
        <w:jc w:val="both"/>
        <w:rPr>
          <w:rFonts w:ascii="Arial" w:hAnsi="Arial" w:cs="Arial"/>
          <w:b/>
          <w:sz w:val="24"/>
          <w:szCs w:val="24"/>
        </w:rPr>
      </w:pPr>
      <w:r w:rsidRPr="00613BC0">
        <w:rPr>
          <w:rFonts w:ascii="Arial" w:hAnsi="Arial" w:cs="Arial"/>
          <w:b/>
          <w:sz w:val="24"/>
          <w:szCs w:val="24"/>
        </w:rPr>
        <w:t xml:space="preserve">Review </w:t>
      </w:r>
    </w:p>
    <w:p w14:paraId="013E777E" w14:textId="77777777" w:rsidR="00C04A71" w:rsidRPr="00613BC0" w:rsidRDefault="00C04A71" w:rsidP="00613BC0">
      <w:pPr>
        <w:spacing w:line="360" w:lineRule="auto"/>
        <w:jc w:val="both"/>
        <w:rPr>
          <w:rFonts w:ascii="Arial" w:hAnsi="Arial" w:cs="Arial"/>
          <w:sz w:val="24"/>
          <w:szCs w:val="24"/>
        </w:rPr>
      </w:pPr>
      <w:r w:rsidRPr="00613BC0">
        <w:rPr>
          <w:rFonts w:ascii="Arial" w:hAnsi="Arial" w:cs="Arial"/>
          <w:sz w:val="24"/>
          <w:szCs w:val="24"/>
        </w:rPr>
        <w:t xml:space="preserve">This Policy is subject to annual review by relevant Academic Lead ensure it continues to meet the University's needs and the requirements of the University's contract with the ESFA and all relevant funding agency regulations. </w:t>
      </w:r>
    </w:p>
    <w:p w14:paraId="547ACD53" w14:textId="77777777" w:rsidR="00111A51" w:rsidRPr="00613BC0" w:rsidRDefault="00111A51" w:rsidP="00613BC0">
      <w:pPr>
        <w:spacing w:line="360" w:lineRule="auto"/>
        <w:jc w:val="both"/>
        <w:rPr>
          <w:rFonts w:ascii="Arial" w:hAnsi="Arial" w:cs="Arial"/>
          <w:b/>
          <w:sz w:val="24"/>
          <w:szCs w:val="24"/>
        </w:rPr>
      </w:pPr>
      <w:r w:rsidRPr="00613BC0">
        <w:rPr>
          <w:rFonts w:ascii="Arial" w:hAnsi="Arial" w:cs="Arial"/>
          <w:b/>
          <w:sz w:val="24"/>
          <w:szCs w:val="24"/>
        </w:rPr>
        <w:t xml:space="preserve">Approved by: </w:t>
      </w:r>
    </w:p>
    <w:p w14:paraId="0623DDF8" w14:textId="7F84A61A" w:rsidR="00111A51" w:rsidRPr="00613BC0" w:rsidRDefault="00111A51" w:rsidP="00613BC0">
      <w:pPr>
        <w:spacing w:line="360" w:lineRule="auto"/>
        <w:jc w:val="both"/>
        <w:rPr>
          <w:rFonts w:ascii="Arial" w:hAnsi="Arial" w:cs="Arial"/>
          <w:sz w:val="24"/>
          <w:szCs w:val="24"/>
        </w:rPr>
      </w:pPr>
      <w:r w:rsidRPr="00613BC0">
        <w:rPr>
          <w:rFonts w:ascii="Arial" w:hAnsi="Arial" w:cs="Arial"/>
          <w:b/>
          <w:sz w:val="24"/>
          <w:szCs w:val="24"/>
        </w:rPr>
        <w:t>Name:</w:t>
      </w:r>
      <w:r w:rsidR="00613BC0">
        <w:rPr>
          <w:rFonts w:ascii="Arial" w:hAnsi="Arial" w:cs="Arial"/>
          <w:sz w:val="24"/>
          <w:szCs w:val="24"/>
        </w:rPr>
        <w:t xml:space="preserve"> </w:t>
      </w:r>
      <w:r w:rsidRPr="00613BC0">
        <w:rPr>
          <w:rFonts w:ascii="Arial" w:hAnsi="Arial" w:cs="Arial"/>
          <w:sz w:val="24"/>
          <w:szCs w:val="24"/>
        </w:rPr>
        <w:t>Prof</w:t>
      </w:r>
      <w:r w:rsidR="00613BC0">
        <w:rPr>
          <w:rFonts w:ascii="Arial" w:hAnsi="Arial" w:cs="Arial"/>
          <w:sz w:val="24"/>
          <w:szCs w:val="24"/>
        </w:rPr>
        <w:t>essor</w:t>
      </w:r>
      <w:r w:rsidRPr="00613BC0">
        <w:rPr>
          <w:rFonts w:ascii="Arial" w:hAnsi="Arial" w:cs="Arial"/>
          <w:sz w:val="24"/>
          <w:szCs w:val="24"/>
        </w:rPr>
        <w:t xml:space="preserve"> Zoe Butterfint, </w:t>
      </w:r>
      <w:r w:rsidR="00613A26">
        <w:rPr>
          <w:rFonts w:ascii="Arial" w:hAnsi="Arial" w:cs="Arial"/>
          <w:sz w:val="24"/>
          <w:szCs w:val="24"/>
        </w:rPr>
        <w:t>Associate Pro Vice Chancellor</w:t>
      </w:r>
      <w:r w:rsidRPr="00613BC0">
        <w:rPr>
          <w:rFonts w:ascii="Arial" w:hAnsi="Arial" w:cs="Arial"/>
          <w:sz w:val="24"/>
          <w:szCs w:val="24"/>
        </w:rPr>
        <w:t xml:space="preserve"> Academic Partnerships and Apprenticeships, Chair of UEA Apprenticeship Governance Committee </w:t>
      </w:r>
    </w:p>
    <w:p w14:paraId="290738DB" w14:textId="77777777" w:rsidR="00111A51" w:rsidRPr="00613BC0" w:rsidRDefault="00613BC0" w:rsidP="00613BC0">
      <w:pPr>
        <w:spacing w:line="360" w:lineRule="auto"/>
        <w:jc w:val="both"/>
        <w:rPr>
          <w:rFonts w:ascii="Arial" w:hAnsi="Arial" w:cs="Arial"/>
          <w:b/>
          <w:sz w:val="24"/>
          <w:szCs w:val="24"/>
        </w:rPr>
      </w:pPr>
      <w:r>
        <w:rPr>
          <w:rFonts w:ascii="Arial" w:hAnsi="Arial" w:cs="Arial"/>
          <w:b/>
          <w:sz w:val="24"/>
          <w:szCs w:val="24"/>
        </w:rPr>
        <w:t>Signed:</w:t>
      </w:r>
      <w:r w:rsidR="00775290">
        <w:rPr>
          <w:rFonts w:ascii="Arial" w:hAnsi="Arial" w:cs="Arial"/>
          <w:b/>
          <w:sz w:val="24"/>
          <w:szCs w:val="24"/>
        </w:rPr>
        <w:t xml:space="preserve"> </w:t>
      </w:r>
      <w:r w:rsidR="00775290">
        <w:rPr>
          <w:noProof/>
          <w:lang w:eastAsia="en-GB"/>
        </w:rPr>
        <w:drawing>
          <wp:inline distT="0" distB="0" distL="0" distR="0" wp14:anchorId="6E687A13" wp14:editId="43E4975B">
            <wp:extent cx="843730" cy="335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90998" cy="354063"/>
                    </a:xfrm>
                    <a:prstGeom prst="rect">
                      <a:avLst/>
                    </a:prstGeom>
                  </pic:spPr>
                </pic:pic>
              </a:graphicData>
            </a:graphic>
          </wp:inline>
        </w:drawing>
      </w:r>
    </w:p>
    <w:p w14:paraId="151CE129" w14:textId="5AEF4278" w:rsidR="001D44B9" w:rsidRPr="00613BC0" w:rsidRDefault="00613BC0" w:rsidP="33F3DB65">
      <w:pPr>
        <w:spacing w:line="360" w:lineRule="auto"/>
        <w:jc w:val="both"/>
        <w:rPr>
          <w:rFonts w:ascii="Arial" w:hAnsi="Arial" w:cs="Arial"/>
          <w:b/>
          <w:bCs/>
          <w:sz w:val="24"/>
          <w:szCs w:val="24"/>
        </w:rPr>
      </w:pPr>
      <w:r w:rsidRPr="271A2501">
        <w:rPr>
          <w:rFonts w:ascii="Arial" w:hAnsi="Arial" w:cs="Arial"/>
          <w:b/>
          <w:bCs/>
          <w:sz w:val="24"/>
          <w:szCs w:val="24"/>
        </w:rPr>
        <w:t>Date:</w:t>
      </w:r>
      <w:r w:rsidR="00775290" w:rsidRPr="271A2501">
        <w:rPr>
          <w:rFonts w:ascii="Arial" w:hAnsi="Arial" w:cs="Arial"/>
          <w:b/>
          <w:bCs/>
          <w:sz w:val="24"/>
          <w:szCs w:val="24"/>
        </w:rPr>
        <w:t xml:space="preserve"> </w:t>
      </w:r>
      <w:r w:rsidR="00497643">
        <w:rPr>
          <w:rFonts w:ascii="Arial" w:hAnsi="Arial" w:cs="Arial"/>
          <w:b/>
          <w:bCs/>
          <w:sz w:val="24"/>
          <w:szCs w:val="24"/>
        </w:rPr>
        <w:t>21 July 202</w:t>
      </w:r>
      <w:r w:rsidR="00F87CFC">
        <w:rPr>
          <w:rFonts w:ascii="Arial" w:hAnsi="Arial" w:cs="Arial"/>
          <w:b/>
          <w:bCs/>
          <w:sz w:val="24"/>
          <w:szCs w:val="24"/>
        </w:rPr>
        <w:t>4</w:t>
      </w:r>
    </w:p>
    <w:sectPr w:rsidR="001D44B9" w:rsidRPr="00613BC0" w:rsidSect="00613BC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C9E2" w14:textId="77777777" w:rsidR="00B72358" w:rsidRDefault="00B72358" w:rsidP="00C04A71">
      <w:pPr>
        <w:spacing w:after="0" w:line="240" w:lineRule="auto"/>
      </w:pPr>
      <w:r>
        <w:separator/>
      </w:r>
    </w:p>
  </w:endnote>
  <w:endnote w:type="continuationSeparator" w:id="0">
    <w:p w14:paraId="578E7C84" w14:textId="77777777" w:rsidR="00B72358" w:rsidRDefault="00B72358" w:rsidP="00C0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87C9" w14:textId="77777777" w:rsidR="00B72358" w:rsidRDefault="00B72358" w:rsidP="00C04A71">
      <w:pPr>
        <w:spacing w:after="0" w:line="240" w:lineRule="auto"/>
      </w:pPr>
      <w:r>
        <w:separator/>
      </w:r>
    </w:p>
  </w:footnote>
  <w:footnote w:type="continuationSeparator" w:id="0">
    <w:p w14:paraId="4E02CDEA" w14:textId="77777777" w:rsidR="00B72358" w:rsidRDefault="00B72358" w:rsidP="00C04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9635" w14:textId="77777777" w:rsidR="00613BC0" w:rsidRDefault="00613BC0" w:rsidP="00613BC0">
    <w:pPr>
      <w:pStyle w:val="Header"/>
      <w:jc w:val="right"/>
    </w:pPr>
    <w:r>
      <w:rPr>
        <w:noProof/>
        <w:lang w:eastAsia="en-GB"/>
      </w:rPr>
      <w:drawing>
        <wp:inline distT="0" distB="0" distL="0" distR="0" wp14:anchorId="49BEB45E" wp14:editId="341A6393">
          <wp:extent cx="1435100" cy="863600"/>
          <wp:effectExtent l="0" t="0" r="12700" b="0"/>
          <wp:docPr id="1" name="Picture 1" descr="mac:Marketing:New Brand:2. UEA Standard Logos:Cyan Glint:UEA_NEW_BRAND_Cya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Marketing:New Brand:2. UEA Standard Logos:Cyan Glint:UEA_NEW_BRAND_Cya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4B44"/>
    <w:multiLevelType w:val="hybridMultilevel"/>
    <w:tmpl w:val="84F6640E"/>
    <w:lvl w:ilvl="0" w:tplc="08090001">
      <w:start w:val="1"/>
      <w:numFmt w:val="bullet"/>
      <w:lvlText w:val=""/>
      <w:lvlJc w:val="left"/>
      <w:pPr>
        <w:ind w:left="6429" w:hanging="360"/>
      </w:pPr>
      <w:rPr>
        <w:rFonts w:ascii="Symbol" w:hAnsi="Symbol" w:hint="default"/>
      </w:rPr>
    </w:lvl>
    <w:lvl w:ilvl="1" w:tplc="08090003" w:tentative="1">
      <w:start w:val="1"/>
      <w:numFmt w:val="bullet"/>
      <w:lvlText w:val="o"/>
      <w:lvlJc w:val="left"/>
      <w:pPr>
        <w:ind w:left="7149" w:hanging="360"/>
      </w:pPr>
      <w:rPr>
        <w:rFonts w:ascii="Courier New" w:hAnsi="Courier New" w:cs="Courier New" w:hint="default"/>
      </w:rPr>
    </w:lvl>
    <w:lvl w:ilvl="2" w:tplc="08090005" w:tentative="1">
      <w:start w:val="1"/>
      <w:numFmt w:val="bullet"/>
      <w:lvlText w:val=""/>
      <w:lvlJc w:val="left"/>
      <w:pPr>
        <w:ind w:left="7869" w:hanging="360"/>
      </w:pPr>
      <w:rPr>
        <w:rFonts w:ascii="Wingdings" w:hAnsi="Wingdings" w:hint="default"/>
      </w:rPr>
    </w:lvl>
    <w:lvl w:ilvl="3" w:tplc="08090001" w:tentative="1">
      <w:start w:val="1"/>
      <w:numFmt w:val="bullet"/>
      <w:lvlText w:val=""/>
      <w:lvlJc w:val="left"/>
      <w:pPr>
        <w:ind w:left="8589" w:hanging="360"/>
      </w:pPr>
      <w:rPr>
        <w:rFonts w:ascii="Symbol" w:hAnsi="Symbol" w:hint="default"/>
      </w:rPr>
    </w:lvl>
    <w:lvl w:ilvl="4" w:tplc="08090003" w:tentative="1">
      <w:start w:val="1"/>
      <w:numFmt w:val="bullet"/>
      <w:lvlText w:val="o"/>
      <w:lvlJc w:val="left"/>
      <w:pPr>
        <w:ind w:left="9309" w:hanging="360"/>
      </w:pPr>
      <w:rPr>
        <w:rFonts w:ascii="Courier New" w:hAnsi="Courier New" w:cs="Courier New" w:hint="default"/>
      </w:rPr>
    </w:lvl>
    <w:lvl w:ilvl="5" w:tplc="08090005" w:tentative="1">
      <w:start w:val="1"/>
      <w:numFmt w:val="bullet"/>
      <w:lvlText w:val=""/>
      <w:lvlJc w:val="left"/>
      <w:pPr>
        <w:ind w:left="10029" w:hanging="360"/>
      </w:pPr>
      <w:rPr>
        <w:rFonts w:ascii="Wingdings" w:hAnsi="Wingdings" w:hint="default"/>
      </w:rPr>
    </w:lvl>
    <w:lvl w:ilvl="6" w:tplc="08090001" w:tentative="1">
      <w:start w:val="1"/>
      <w:numFmt w:val="bullet"/>
      <w:lvlText w:val=""/>
      <w:lvlJc w:val="left"/>
      <w:pPr>
        <w:ind w:left="10749" w:hanging="360"/>
      </w:pPr>
      <w:rPr>
        <w:rFonts w:ascii="Symbol" w:hAnsi="Symbol" w:hint="default"/>
      </w:rPr>
    </w:lvl>
    <w:lvl w:ilvl="7" w:tplc="08090003" w:tentative="1">
      <w:start w:val="1"/>
      <w:numFmt w:val="bullet"/>
      <w:lvlText w:val="o"/>
      <w:lvlJc w:val="left"/>
      <w:pPr>
        <w:ind w:left="11469" w:hanging="360"/>
      </w:pPr>
      <w:rPr>
        <w:rFonts w:ascii="Courier New" w:hAnsi="Courier New" w:cs="Courier New" w:hint="default"/>
      </w:rPr>
    </w:lvl>
    <w:lvl w:ilvl="8" w:tplc="08090005" w:tentative="1">
      <w:start w:val="1"/>
      <w:numFmt w:val="bullet"/>
      <w:lvlText w:val=""/>
      <w:lvlJc w:val="left"/>
      <w:pPr>
        <w:ind w:left="12189" w:hanging="360"/>
      </w:pPr>
      <w:rPr>
        <w:rFonts w:ascii="Wingdings" w:hAnsi="Wingdings" w:hint="default"/>
      </w:rPr>
    </w:lvl>
  </w:abstractNum>
  <w:abstractNum w:abstractNumId="1" w15:restartNumberingAfterBreak="0">
    <w:nsid w:val="1CA11338"/>
    <w:multiLevelType w:val="hybridMultilevel"/>
    <w:tmpl w:val="F9BAF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D525E2"/>
    <w:multiLevelType w:val="hybridMultilevel"/>
    <w:tmpl w:val="EE34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20C90"/>
    <w:multiLevelType w:val="hybridMultilevel"/>
    <w:tmpl w:val="4874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C062C"/>
    <w:multiLevelType w:val="hybridMultilevel"/>
    <w:tmpl w:val="C4BE2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09624763">
    <w:abstractNumId w:val="1"/>
  </w:num>
  <w:num w:numId="2" w16cid:durableId="1915897441">
    <w:abstractNumId w:val="4"/>
  </w:num>
  <w:num w:numId="3" w16cid:durableId="984969141">
    <w:abstractNumId w:val="0"/>
  </w:num>
  <w:num w:numId="4" w16cid:durableId="2705438">
    <w:abstractNumId w:val="3"/>
  </w:num>
  <w:num w:numId="5" w16cid:durableId="167229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B9"/>
    <w:rsid w:val="00086E49"/>
    <w:rsid w:val="00111A51"/>
    <w:rsid w:val="001D44B9"/>
    <w:rsid w:val="001F1E63"/>
    <w:rsid w:val="002C7040"/>
    <w:rsid w:val="003474A1"/>
    <w:rsid w:val="003913B0"/>
    <w:rsid w:val="00420959"/>
    <w:rsid w:val="00424C0B"/>
    <w:rsid w:val="00497643"/>
    <w:rsid w:val="004F712B"/>
    <w:rsid w:val="00613A26"/>
    <w:rsid w:val="00613BC0"/>
    <w:rsid w:val="00775290"/>
    <w:rsid w:val="007D1DE4"/>
    <w:rsid w:val="008401E5"/>
    <w:rsid w:val="008B5DB9"/>
    <w:rsid w:val="0095152B"/>
    <w:rsid w:val="00A46319"/>
    <w:rsid w:val="00B23A6E"/>
    <w:rsid w:val="00B72358"/>
    <w:rsid w:val="00B87B66"/>
    <w:rsid w:val="00BB1960"/>
    <w:rsid w:val="00C04A71"/>
    <w:rsid w:val="00C71836"/>
    <w:rsid w:val="00CC26ED"/>
    <w:rsid w:val="00CF4DA6"/>
    <w:rsid w:val="00D225D7"/>
    <w:rsid w:val="00F50DA8"/>
    <w:rsid w:val="00F87CFC"/>
    <w:rsid w:val="181E9D36"/>
    <w:rsid w:val="187DE183"/>
    <w:rsid w:val="271A2501"/>
    <w:rsid w:val="2FD3195D"/>
    <w:rsid w:val="33F3DB65"/>
    <w:rsid w:val="44DF4F55"/>
    <w:rsid w:val="5B22786E"/>
    <w:rsid w:val="5FF95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4A0E"/>
  <w15:chartTrackingRefBased/>
  <w15:docId w15:val="{A8E259C4-22C0-44F6-8BBC-C8BCE667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040"/>
    <w:pPr>
      <w:ind w:left="720"/>
      <w:contextualSpacing/>
    </w:pPr>
  </w:style>
  <w:style w:type="paragraph" w:styleId="Header">
    <w:name w:val="header"/>
    <w:basedOn w:val="Normal"/>
    <w:link w:val="HeaderChar"/>
    <w:uiPriority w:val="99"/>
    <w:unhideWhenUsed/>
    <w:rsid w:val="00C04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A71"/>
  </w:style>
  <w:style w:type="paragraph" w:styleId="Footer">
    <w:name w:val="footer"/>
    <w:basedOn w:val="Normal"/>
    <w:link w:val="FooterChar"/>
    <w:uiPriority w:val="99"/>
    <w:unhideWhenUsed/>
    <w:rsid w:val="00C04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3b0de0-51b4-451a-84b5-788f2aa3d2de">
      <Terms xmlns="http://schemas.microsoft.com/office/infopath/2007/PartnerControls"/>
    </lcf76f155ced4ddcb4097134ff3c332f>
    <TaxCatchAll xmlns="22ad3714-85cd-42bf-bead-7cce04aee7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95D5CCFD9AA14CA6452A7D7D248654" ma:contentTypeVersion="18" ma:contentTypeDescription="Create a new document." ma:contentTypeScope="" ma:versionID="8fd931d2ee30d32392abd1351f1b7688">
  <xsd:schema xmlns:xsd="http://www.w3.org/2001/XMLSchema" xmlns:xs="http://www.w3.org/2001/XMLSchema" xmlns:p="http://schemas.microsoft.com/office/2006/metadata/properties" xmlns:ns2="e83b0de0-51b4-451a-84b5-788f2aa3d2de" xmlns:ns3="22ad3714-85cd-42bf-bead-7cce04aee758" targetNamespace="http://schemas.microsoft.com/office/2006/metadata/properties" ma:root="true" ma:fieldsID="1a401e0c348845fc405c2e996d30f173" ns2:_="" ns3:_="">
    <xsd:import namespace="e83b0de0-51b4-451a-84b5-788f2aa3d2de"/>
    <xsd:import namespace="22ad3714-85cd-42bf-bead-7cce04aee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b0de0-51b4-451a-84b5-788f2aa3d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d3714-85cd-42bf-bead-7cce04aee7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0f0733-ccc7-4f6d-a10a-68df08704845}" ma:internalName="TaxCatchAll" ma:showField="CatchAllData" ma:web="22ad3714-85cd-42bf-bead-7cce04aee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F3A19-1DA2-4E05-A0A6-B037405D8B4B}">
  <ds:schemaRefs>
    <ds:schemaRef ds:uri="http://schemas.microsoft.com/office/2006/metadata/properties"/>
    <ds:schemaRef ds:uri="http://schemas.microsoft.com/office/infopath/2007/PartnerControls"/>
    <ds:schemaRef ds:uri="e83b0de0-51b4-451a-84b5-788f2aa3d2de"/>
    <ds:schemaRef ds:uri="22ad3714-85cd-42bf-bead-7cce04aee758"/>
  </ds:schemaRefs>
</ds:datastoreItem>
</file>

<file path=customXml/itemProps2.xml><?xml version="1.0" encoding="utf-8"?>
<ds:datastoreItem xmlns:ds="http://schemas.openxmlformats.org/officeDocument/2006/customXml" ds:itemID="{417741D5-CCF0-4DCF-B31B-1F474F27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b0de0-51b4-451a-84b5-788f2aa3d2de"/>
    <ds:schemaRef ds:uri="22ad3714-85cd-42bf-bead-7cce04aee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56CFB-BCE8-4D70-8BFE-478F2AB64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713</Words>
  <Characters>4069</Characters>
  <Application>Microsoft Office Word</Application>
  <DocSecurity>0</DocSecurity>
  <Lines>33</Lines>
  <Paragraphs>9</Paragraphs>
  <ScaleCrop>false</ScaleCrop>
  <Company>University of East Anglia</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Davies (ACP - Staff)</dc:creator>
  <cp:keywords/>
  <dc:description/>
  <cp:lastModifiedBy>Sharon Davies (ACP - Staff)</cp:lastModifiedBy>
  <cp:revision>4</cp:revision>
  <cp:lastPrinted>2022-04-22T14:42:00Z</cp:lastPrinted>
  <dcterms:created xsi:type="dcterms:W3CDTF">2024-07-18T10:35:00Z</dcterms:created>
  <dcterms:modified xsi:type="dcterms:W3CDTF">2024-07-22T07:48:00Z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912671222</vt:i4>
  </property>
  <property fmtid="{D5CDD505-2E9C-101B-9397-08002B2CF9AE}" pid="3" name="_NewReviewCycle">
    <vt:lpwstr/>
  </property>
  <property fmtid="{D5CDD505-2E9C-101B-9397-08002B2CF9AE}" pid="4" name="_EmailSubject">
    <vt:lpwstr>Rationale for sub-contracting  update </vt:lpwstr>
  </property>
  <property fmtid="{D5CDD505-2E9C-101B-9397-08002B2CF9AE}" pid="5" name="_AuthorEmail">
    <vt:lpwstr>S.Davies@uea.ac.uk</vt:lpwstr>
  </property>
  <property fmtid="{D5CDD505-2E9C-101B-9397-08002B2CF9AE}" pid="6" name="_AuthorEmailDisplayName">
    <vt:lpwstr>Sharon Davies (ACP - Staff)</vt:lpwstr>
  </property>
  <property fmtid="{D5CDD505-2E9C-101B-9397-08002B2CF9AE}" pid="7" name="ContentTypeId">
    <vt:lpwstr>0x010100B995D5CCFD9AA14CA6452A7D7D248654</vt:lpwstr>
  </property>
  <property fmtid="{D5CDD505-2E9C-101B-9397-08002B2CF9AE}" pid="8" name="_PreviousAdHocReviewCycleID">
    <vt:i4>29870433</vt:i4>
  </property>
  <property fmtid="{D5CDD505-2E9C-101B-9397-08002B2CF9AE}" pid="9" name="_ReviewingToolsShownOnce">
    <vt:lpwstr/>
  </property>
  <property fmtid="{D5CDD505-2E9C-101B-9397-08002B2CF9AE}" pid="10" name="MediaServiceImageTags">
    <vt:lpwstr/>
  </property>
</Properties>
</file>