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7482F" w14:textId="2A6AD5E7" w:rsidR="00537837" w:rsidRPr="00607BFB" w:rsidRDefault="00537837">
      <w:pPr>
        <w:rPr>
          <w:rFonts w:cstheme="minorHAnsi"/>
          <w:b/>
          <w:bCs/>
          <w:sz w:val="28"/>
          <w:szCs w:val="28"/>
        </w:rPr>
      </w:pPr>
      <w:r w:rsidRPr="00607BFB">
        <w:rPr>
          <w:rFonts w:cstheme="minorHAnsi"/>
          <w:b/>
          <w:bCs/>
          <w:sz w:val="28"/>
          <w:szCs w:val="28"/>
        </w:rPr>
        <w:t>Blog</w:t>
      </w:r>
      <w:r w:rsidR="009E23A9" w:rsidRPr="00607BFB">
        <w:rPr>
          <w:rFonts w:cstheme="minorHAnsi"/>
          <w:b/>
          <w:bCs/>
          <w:sz w:val="28"/>
          <w:szCs w:val="28"/>
        </w:rPr>
        <w:t>:</w:t>
      </w:r>
      <w:r w:rsidRPr="00607BFB">
        <w:rPr>
          <w:rFonts w:cstheme="minorHAnsi"/>
          <w:b/>
          <w:bCs/>
          <w:sz w:val="28"/>
          <w:szCs w:val="28"/>
        </w:rPr>
        <w:t xml:space="preserve"> Achieving System and Workforce transformation Through Co Production</w:t>
      </w:r>
      <w:r w:rsidR="00BA3BC8" w:rsidRPr="00607BFB">
        <w:rPr>
          <w:rFonts w:cstheme="minorHAnsi"/>
          <w:b/>
          <w:bCs/>
          <w:sz w:val="28"/>
          <w:szCs w:val="28"/>
        </w:rPr>
        <w:t xml:space="preserve"> </w:t>
      </w:r>
    </w:p>
    <w:p w14:paraId="5F9CCECA" w14:textId="13C2B20A" w:rsidR="005E6C1F" w:rsidRPr="00607BFB" w:rsidRDefault="005E6C1F">
      <w:pPr>
        <w:rPr>
          <w:rFonts w:cstheme="minorHAnsi"/>
          <w:b/>
          <w:bCs/>
          <w:sz w:val="28"/>
          <w:szCs w:val="28"/>
        </w:rPr>
      </w:pPr>
      <w:r w:rsidRPr="00607BFB">
        <w:rPr>
          <w:rFonts w:cstheme="minorHAnsi"/>
          <w:b/>
          <w:bCs/>
          <w:sz w:val="28"/>
          <w:szCs w:val="28"/>
        </w:rPr>
        <w:t>Kim Manley</w:t>
      </w:r>
    </w:p>
    <w:p w14:paraId="447F8227" w14:textId="407B1195" w:rsidR="006C3854" w:rsidRPr="00607BFB" w:rsidRDefault="006C3854">
      <w:p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The health and care sectors are experiencing </w:t>
      </w:r>
      <w:r w:rsidR="009A3C73" w:rsidRPr="00607BFB">
        <w:rPr>
          <w:rFonts w:cstheme="minorHAnsi"/>
          <w:sz w:val="28"/>
          <w:szCs w:val="28"/>
        </w:rPr>
        <w:t>extreme</w:t>
      </w:r>
      <w:r w:rsidRPr="00607BFB">
        <w:rPr>
          <w:rFonts w:cstheme="minorHAnsi"/>
          <w:sz w:val="28"/>
          <w:szCs w:val="28"/>
        </w:rPr>
        <w:t xml:space="preserve"> demand and there are huge challenges with retaining and growing </w:t>
      </w:r>
      <w:r w:rsidR="009A3C73" w:rsidRPr="00607BFB">
        <w:rPr>
          <w:rFonts w:cstheme="minorHAnsi"/>
          <w:sz w:val="28"/>
          <w:szCs w:val="28"/>
        </w:rPr>
        <w:t>the</w:t>
      </w:r>
      <w:r w:rsidRPr="00607BFB">
        <w:rPr>
          <w:rFonts w:cstheme="minorHAnsi"/>
          <w:sz w:val="28"/>
          <w:szCs w:val="28"/>
        </w:rPr>
        <w:t xml:space="preserve"> vital workforce</w:t>
      </w:r>
      <w:r w:rsidR="009A3C73" w:rsidRPr="00607BFB">
        <w:rPr>
          <w:rFonts w:cstheme="minorHAnsi"/>
          <w:sz w:val="28"/>
          <w:szCs w:val="28"/>
        </w:rPr>
        <w:t xml:space="preserve"> required</w:t>
      </w:r>
      <w:r w:rsidRPr="00607BFB">
        <w:rPr>
          <w:rFonts w:cstheme="minorHAnsi"/>
          <w:sz w:val="28"/>
          <w:szCs w:val="28"/>
        </w:rPr>
        <w:t xml:space="preserve"> to meet the needs of our populations in a way</w:t>
      </w:r>
      <w:r w:rsidR="000C3EFC" w:rsidRPr="00607BFB">
        <w:rPr>
          <w:rFonts w:cstheme="minorHAnsi"/>
          <w:sz w:val="28"/>
          <w:szCs w:val="28"/>
        </w:rPr>
        <w:t xml:space="preserve"> that</w:t>
      </w:r>
      <w:r w:rsidRPr="00607BFB">
        <w:rPr>
          <w:rFonts w:cstheme="minorHAnsi"/>
          <w:sz w:val="28"/>
          <w:szCs w:val="28"/>
        </w:rPr>
        <w:t xml:space="preserve"> is person and people centred, safe and effective</w:t>
      </w:r>
      <w:r w:rsidR="009E23A9" w:rsidRPr="00607BFB">
        <w:rPr>
          <w:rFonts w:cstheme="minorHAnsi"/>
          <w:sz w:val="28"/>
          <w:szCs w:val="28"/>
        </w:rPr>
        <w:t xml:space="preserve"> to </w:t>
      </w:r>
      <w:r w:rsidR="000C3EFC" w:rsidRPr="00607BFB">
        <w:rPr>
          <w:rFonts w:cstheme="minorHAnsi"/>
          <w:sz w:val="28"/>
          <w:szCs w:val="28"/>
        </w:rPr>
        <w:t>provide continuity</w:t>
      </w:r>
      <w:r w:rsidR="009E23A9" w:rsidRPr="00607BFB">
        <w:rPr>
          <w:rFonts w:cstheme="minorHAnsi"/>
          <w:sz w:val="28"/>
          <w:szCs w:val="28"/>
        </w:rPr>
        <w:t xml:space="preserve"> </w:t>
      </w:r>
      <w:r w:rsidR="009A3C73" w:rsidRPr="00607BFB">
        <w:rPr>
          <w:rFonts w:cstheme="minorHAnsi"/>
          <w:sz w:val="28"/>
          <w:szCs w:val="28"/>
        </w:rPr>
        <w:t>with</w:t>
      </w:r>
      <w:r w:rsidR="009E23A9" w:rsidRPr="00607BFB">
        <w:rPr>
          <w:rFonts w:cstheme="minorHAnsi"/>
          <w:sz w:val="28"/>
          <w:szCs w:val="28"/>
        </w:rPr>
        <w:t xml:space="preserve"> a</w:t>
      </w:r>
      <w:r w:rsidR="000C3EFC" w:rsidRPr="00607BFB">
        <w:rPr>
          <w:rFonts w:cstheme="minorHAnsi"/>
          <w:sz w:val="28"/>
          <w:szCs w:val="28"/>
        </w:rPr>
        <w:t xml:space="preserve"> focus on what matters</w:t>
      </w:r>
      <w:r w:rsidR="009A3C73" w:rsidRPr="00607BFB">
        <w:rPr>
          <w:rFonts w:cstheme="minorHAnsi"/>
          <w:sz w:val="28"/>
          <w:szCs w:val="28"/>
        </w:rPr>
        <w:t>.</w:t>
      </w:r>
      <w:r w:rsidRPr="00607BFB">
        <w:rPr>
          <w:rFonts w:cstheme="minorHAnsi"/>
          <w:sz w:val="28"/>
          <w:szCs w:val="28"/>
        </w:rPr>
        <w:t xml:space="preserve"> </w:t>
      </w:r>
    </w:p>
    <w:p w14:paraId="14F6B5E0" w14:textId="3B42AE93" w:rsidR="00E72302" w:rsidRPr="00607BFB" w:rsidRDefault="009A3C73">
      <w:pPr>
        <w:rPr>
          <w:rFonts w:cstheme="minorHAnsi"/>
          <w:sz w:val="28"/>
          <w:szCs w:val="28"/>
        </w:rPr>
      </w:pP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>Integrated Care Systems (ICSs) have the legislative responsibility to commission an integrated approach to health and social care to meet population health needs and spend money wisely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  <w:vertAlign w:val="superscript"/>
        </w:rPr>
        <w:t>1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.  This means breaking down professional silos </w:t>
      </w:r>
      <w:r w:rsidR="00313A54" w:rsidRPr="00607BFB">
        <w:rPr>
          <w:rFonts w:cstheme="minorHAnsi"/>
          <w:color w:val="222222"/>
          <w:sz w:val="28"/>
          <w:szCs w:val="28"/>
          <w:shd w:val="clear" w:color="auto" w:fill="FFFFFF"/>
        </w:rPr>
        <w:t>through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313A54" w:rsidRPr="00607BFB">
        <w:rPr>
          <w:rFonts w:cstheme="minorHAnsi"/>
          <w:color w:val="222222"/>
          <w:sz w:val="28"/>
          <w:szCs w:val="28"/>
          <w:shd w:val="clear" w:color="auto" w:fill="FFFFFF"/>
        </w:rPr>
        <w:t>establish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ing systems leaders with the integrated skill sets to lead and drive culture change, facilitate effectiveness and improvement </w:t>
      </w:r>
      <w:r w:rsidR="00313A54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- all skills </w:t>
      </w:r>
      <w:r w:rsidR="00E72302" w:rsidRPr="00607BFB">
        <w:rPr>
          <w:rFonts w:cstheme="minorHAnsi"/>
          <w:color w:val="222222"/>
          <w:sz w:val="28"/>
          <w:szCs w:val="28"/>
          <w:shd w:val="clear" w:color="auto" w:fill="FFFFFF"/>
        </w:rPr>
        <w:t>required</w:t>
      </w:r>
      <w:r w:rsidR="00313A54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for sustainable person centred transformation</w:t>
      </w:r>
      <w:r w:rsidR="00413B8D" w:rsidRPr="00607BFB">
        <w:rPr>
          <w:rFonts w:cstheme="minorHAnsi"/>
          <w:color w:val="222222"/>
          <w:sz w:val="28"/>
          <w:szCs w:val="28"/>
          <w:shd w:val="clear" w:color="auto" w:fill="FFFFFF"/>
          <w:vertAlign w:val="superscript"/>
        </w:rPr>
        <w:t>2</w:t>
      </w:r>
      <w:r w:rsidR="0055531D" w:rsidRPr="00607BFB">
        <w:rPr>
          <w:rFonts w:cstheme="minorHAnsi"/>
          <w:color w:val="222222"/>
          <w:sz w:val="28"/>
          <w:szCs w:val="28"/>
          <w:shd w:val="clear" w:color="auto" w:fill="FFFFFF"/>
          <w:vertAlign w:val="superscript"/>
        </w:rPr>
        <w:t xml:space="preserve"> </w:t>
      </w:r>
      <w:r w:rsidR="0055531D" w:rsidRPr="00607BFB">
        <w:rPr>
          <w:rFonts w:cstheme="minorHAnsi"/>
          <w:color w:val="222222"/>
          <w:sz w:val="28"/>
          <w:szCs w:val="28"/>
          <w:shd w:val="clear" w:color="auto" w:fill="FFFFFF"/>
        </w:rPr>
        <w:t>with</w:t>
      </w:r>
      <w:r w:rsidR="0055531D" w:rsidRPr="00607BFB">
        <w:rPr>
          <w:rFonts w:cstheme="minorHAnsi"/>
          <w:color w:val="222222"/>
          <w:sz w:val="28"/>
          <w:szCs w:val="28"/>
          <w:shd w:val="clear" w:color="auto" w:fill="FFFFFF"/>
          <w:vertAlign w:val="superscript"/>
        </w:rPr>
        <w:t xml:space="preserve"> </w:t>
      </w:r>
      <w:r w:rsidR="0055531D" w:rsidRPr="00607BFB">
        <w:rPr>
          <w:rFonts w:cstheme="minorHAnsi"/>
          <w:color w:val="222222"/>
          <w:sz w:val="28"/>
          <w:szCs w:val="28"/>
          <w:shd w:val="clear" w:color="auto" w:fill="FFFFFF"/>
        </w:rPr>
        <w:t>impact</w:t>
      </w:r>
      <w:r w:rsidR="0055531D" w:rsidRPr="00607BFB">
        <w:rPr>
          <w:rFonts w:cstheme="minorHAnsi"/>
          <w:color w:val="222222"/>
          <w:sz w:val="28"/>
          <w:szCs w:val="28"/>
          <w:shd w:val="clear" w:color="auto" w:fill="FFFFFF"/>
          <w:vertAlign w:val="superscript"/>
        </w:rPr>
        <w:t>3</w:t>
      </w:r>
      <w:r w:rsidR="005C34F5" w:rsidRPr="00607BFB">
        <w:rPr>
          <w:rFonts w:cstheme="minorHAnsi"/>
          <w:color w:val="222222"/>
          <w:sz w:val="28"/>
          <w:szCs w:val="28"/>
          <w:shd w:val="clear" w:color="auto" w:fill="FFFFFF"/>
        </w:rPr>
        <w:t>.</w:t>
      </w:r>
    </w:p>
    <w:p w14:paraId="42C60673" w14:textId="72C78973" w:rsidR="002E3F45" w:rsidRPr="00607BFB" w:rsidRDefault="006C3854">
      <w:p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 </w:t>
      </w:r>
      <w:r w:rsidR="00773A89" w:rsidRPr="00607BFB">
        <w:rPr>
          <w:rFonts w:cstheme="minorHAnsi"/>
          <w:sz w:val="28"/>
          <w:szCs w:val="28"/>
        </w:rPr>
        <w:t>If a genuine collaborative, inclusive and participative approach is adopted by ICSs then there is a</w:t>
      </w:r>
      <w:r w:rsidRPr="00607BFB">
        <w:rPr>
          <w:rFonts w:cstheme="minorHAnsi"/>
          <w:sz w:val="28"/>
          <w:szCs w:val="28"/>
        </w:rPr>
        <w:t xml:space="preserve"> </w:t>
      </w:r>
      <w:r w:rsidR="000C3EFC" w:rsidRPr="00607BFB">
        <w:rPr>
          <w:rFonts w:cstheme="minorHAnsi"/>
          <w:sz w:val="28"/>
          <w:szCs w:val="28"/>
        </w:rPr>
        <w:t xml:space="preserve">real </w:t>
      </w:r>
      <w:r w:rsidRPr="00607BFB">
        <w:rPr>
          <w:rFonts w:cstheme="minorHAnsi"/>
          <w:sz w:val="28"/>
          <w:szCs w:val="28"/>
        </w:rPr>
        <w:t>window</w:t>
      </w:r>
      <w:r w:rsidR="00BA3BC8" w:rsidRPr="00607BFB">
        <w:rPr>
          <w:rFonts w:cstheme="minorHAnsi"/>
          <w:sz w:val="28"/>
          <w:szCs w:val="28"/>
        </w:rPr>
        <w:t xml:space="preserve"> of opportunity</w:t>
      </w:r>
      <w:r w:rsidRPr="00607BFB">
        <w:rPr>
          <w:rFonts w:cstheme="minorHAnsi"/>
          <w:sz w:val="28"/>
          <w:szCs w:val="28"/>
        </w:rPr>
        <w:t xml:space="preserve"> to </w:t>
      </w:r>
      <w:r w:rsidR="00773A89" w:rsidRPr="00607BFB">
        <w:rPr>
          <w:rFonts w:cstheme="minorHAnsi"/>
          <w:sz w:val="28"/>
          <w:szCs w:val="28"/>
        </w:rPr>
        <w:t>begin</w:t>
      </w:r>
      <w:r w:rsidRPr="00607BFB">
        <w:rPr>
          <w:rFonts w:cstheme="minorHAnsi"/>
          <w:sz w:val="28"/>
          <w:szCs w:val="28"/>
        </w:rPr>
        <w:t xml:space="preserve"> a joined</w:t>
      </w:r>
      <w:r w:rsidR="00773A89" w:rsidRPr="00607BFB">
        <w:rPr>
          <w:rFonts w:cstheme="minorHAnsi"/>
          <w:sz w:val="28"/>
          <w:szCs w:val="28"/>
        </w:rPr>
        <w:t>-</w:t>
      </w:r>
      <w:r w:rsidRPr="00607BFB">
        <w:rPr>
          <w:rFonts w:cstheme="minorHAnsi"/>
          <w:sz w:val="28"/>
          <w:szCs w:val="28"/>
        </w:rPr>
        <w:t xml:space="preserve">up approach </w:t>
      </w:r>
      <w:r w:rsidR="00BA3BC8" w:rsidRPr="00607BFB">
        <w:rPr>
          <w:rFonts w:cstheme="minorHAnsi"/>
          <w:sz w:val="28"/>
          <w:szCs w:val="28"/>
        </w:rPr>
        <w:t>to</w:t>
      </w:r>
      <w:r w:rsidRPr="00607BFB">
        <w:rPr>
          <w:rFonts w:cstheme="minorHAnsi"/>
          <w:sz w:val="28"/>
          <w:szCs w:val="28"/>
        </w:rPr>
        <w:t xml:space="preserve"> transform health and care sustainably for the future</w:t>
      </w:r>
      <w:r w:rsidR="000C3EFC" w:rsidRPr="00607BFB">
        <w:rPr>
          <w:rFonts w:cstheme="minorHAnsi"/>
          <w:sz w:val="28"/>
          <w:szCs w:val="28"/>
        </w:rPr>
        <w:t xml:space="preserve">. </w:t>
      </w:r>
      <w:r w:rsidR="002E3F45" w:rsidRPr="00607BFB">
        <w:rPr>
          <w:rFonts w:cstheme="minorHAnsi"/>
          <w:sz w:val="28"/>
          <w:szCs w:val="28"/>
        </w:rPr>
        <w:t xml:space="preserve">However, this can only be </w:t>
      </w:r>
      <w:r w:rsidR="00E72302" w:rsidRPr="00607BFB">
        <w:rPr>
          <w:rFonts w:cstheme="minorHAnsi"/>
          <w:sz w:val="28"/>
          <w:szCs w:val="28"/>
        </w:rPr>
        <w:t>achieved</w:t>
      </w:r>
      <w:r w:rsidR="002E3F45" w:rsidRPr="00607BFB">
        <w:rPr>
          <w:rFonts w:cstheme="minorHAnsi"/>
          <w:sz w:val="28"/>
          <w:szCs w:val="28"/>
        </w:rPr>
        <w:t xml:space="preserve"> by:</w:t>
      </w:r>
    </w:p>
    <w:p w14:paraId="20B77920" w14:textId="684DD1B8" w:rsidR="008C2B66" w:rsidRPr="00607BFB" w:rsidRDefault="002E3F45">
      <w:pPr>
        <w:rPr>
          <w:rFonts w:cstheme="minorHAnsi"/>
          <w:sz w:val="28"/>
          <w:szCs w:val="28"/>
        </w:rPr>
      </w:pPr>
      <w:r w:rsidRPr="00607BFB">
        <w:rPr>
          <w:rFonts w:cstheme="minorHAnsi"/>
          <w:b/>
          <w:bCs/>
          <w:i/>
          <w:iCs/>
          <w:color w:val="222222"/>
          <w:sz w:val="28"/>
          <w:szCs w:val="28"/>
          <w:shd w:val="clear" w:color="auto" w:fill="FFFFFF"/>
        </w:rPr>
        <w:t>Putting the person at the heart of driving health and social care improvement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along a care journey to keep them well</w:t>
      </w:r>
      <w:r w:rsidR="00E72302" w:rsidRPr="00607BFB">
        <w:rPr>
          <w:rFonts w:cstheme="minorHAnsi"/>
          <w:color w:val="222222"/>
          <w:sz w:val="28"/>
          <w:szCs w:val="28"/>
          <w:shd w:val="clear" w:color="auto" w:fill="FFFFFF"/>
        </w:rPr>
        <w:t>,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close to or in their own homes is critical.</w:t>
      </w:r>
      <w:r w:rsidRPr="00607BFB">
        <w:rPr>
          <w:rFonts w:cstheme="minorHAnsi"/>
          <w:color w:val="222222"/>
          <w:sz w:val="28"/>
          <w:szCs w:val="28"/>
        </w:rPr>
        <w:br/>
      </w:r>
      <w:r w:rsidRPr="00607BFB">
        <w:rPr>
          <w:rFonts w:cstheme="minorHAnsi"/>
          <w:color w:val="222222"/>
          <w:sz w:val="28"/>
          <w:szCs w:val="28"/>
        </w:rPr>
        <w:br/>
      </w:r>
      <w:r w:rsidR="00E72302" w:rsidRPr="00607BFB">
        <w:rPr>
          <w:rFonts w:cstheme="minorHAnsi"/>
          <w:b/>
          <w:bCs/>
          <w:i/>
          <w:iCs/>
          <w:color w:val="222222"/>
          <w:sz w:val="28"/>
          <w:szCs w:val="28"/>
          <w:shd w:val="clear" w:color="auto" w:fill="FFFFFF"/>
        </w:rPr>
        <w:t>C</w:t>
      </w:r>
      <w:r w:rsidRPr="00607BFB">
        <w:rPr>
          <w:rFonts w:cstheme="minorHAnsi"/>
          <w:b/>
          <w:bCs/>
          <w:i/>
          <w:iCs/>
          <w:color w:val="222222"/>
          <w:sz w:val="28"/>
          <w:szCs w:val="28"/>
          <w:shd w:val="clear" w:color="auto" w:fill="FFFFFF"/>
        </w:rPr>
        <w:t>o</w:t>
      </w:r>
      <w:r w:rsidR="00167066" w:rsidRPr="00607BFB">
        <w:rPr>
          <w:rFonts w:cstheme="minorHAnsi"/>
          <w:b/>
          <w:bCs/>
          <w:i/>
          <w:iCs/>
          <w:color w:val="222222"/>
          <w:sz w:val="28"/>
          <w:szCs w:val="28"/>
          <w:shd w:val="clear" w:color="auto" w:fill="FFFFFF"/>
        </w:rPr>
        <w:t>-</w:t>
      </w:r>
      <w:r w:rsidRPr="00607BFB">
        <w:rPr>
          <w:rFonts w:cstheme="minorHAnsi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production with citizens to understand what matters to them in the context 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>they live particularly true of deprivation</w:t>
      </w:r>
      <w:r w:rsidR="00167066" w:rsidRPr="00607BFB">
        <w:rPr>
          <w:rFonts w:cstheme="minorHAnsi"/>
          <w:color w:val="222222"/>
          <w:sz w:val="28"/>
          <w:szCs w:val="28"/>
          <w:shd w:val="clear" w:color="auto" w:fill="FFFFFF"/>
        </w:rPr>
        <w:t>,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167066" w:rsidRPr="00607BFB">
        <w:rPr>
          <w:rFonts w:cstheme="minorHAnsi"/>
          <w:color w:val="222222"/>
          <w:sz w:val="28"/>
          <w:szCs w:val="28"/>
          <w:shd w:val="clear" w:color="auto" w:fill="FFFFFF"/>
        </w:rPr>
        <w:t>(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>as health means different things to different people</w:t>
      </w:r>
      <w:r w:rsidR="00167066" w:rsidRPr="00607BFB">
        <w:rPr>
          <w:rFonts w:cstheme="minorHAnsi"/>
          <w:color w:val="222222"/>
          <w:sz w:val="28"/>
          <w:szCs w:val="28"/>
          <w:shd w:val="clear" w:color="auto" w:fill="FFFFFF"/>
        </w:rPr>
        <w:t>)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and tack</w:t>
      </w:r>
      <w:r w:rsidR="00167066" w:rsidRPr="00607BFB">
        <w:rPr>
          <w:rFonts w:cstheme="minorHAnsi"/>
          <w:color w:val="222222"/>
          <w:sz w:val="28"/>
          <w:szCs w:val="28"/>
          <w:shd w:val="clear" w:color="auto" w:fill="FFFFFF"/>
        </w:rPr>
        <w:t>ling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the causes to enable people to start well, live well and die well.</w:t>
      </w:r>
    </w:p>
    <w:p w14:paraId="14E38E52" w14:textId="32E98AE3" w:rsidR="00E72302" w:rsidRPr="00607BFB" w:rsidRDefault="00167066">
      <w:pPr>
        <w:rPr>
          <w:rFonts w:cstheme="minorHAnsi"/>
          <w:sz w:val="28"/>
          <w:szCs w:val="28"/>
        </w:rPr>
      </w:pPr>
      <w:r w:rsidRPr="00607BFB">
        <w:rPr>
          <w:rFonts w:cstheme="minorHAnsi"/>
          <w:b/>
          <w:bCs/>
          <w:i/>
          <w:iCs/>
          <w:sz w:val="28"/>
          <w:szCs w:val="28"/>
        </w:rPr>
        <w:t>S</w:t>
      </w:r>
      <w:r w:rsidR="000C3EFC" w:rsidRPr="00607BFB">
        <w:rPr>
          <w:rFonts w:cstheme="minorHAnsi"/>
          <w:b/>
          <w:bCs/>
          <w:i/>
          <w:iCs/>
          <w:sz w:val="28"/>
          <w:szCs w:val="28"/>
        </w:rPr>
        <w:t>killed systems leaders for different care groups with the expertise and credibility</w:t>
      </w:r>
      <w:r w:rsidR="000C3EFC" w:rsidRPr="00607BFB">
        <w:rPr>
          <w:rFonts w:cstheme="minorHAnsi"/>
          <w:sz w:val="28"/>
          <w:szCs w:val="28"/>
        </w:rPr>
        <w:t xml:space="preserve"> </w:t>
      </w:r>
      <w:r w:rsidR="005C34F5" w:rsidRPr="00607BFB">
        <w:rPr>
          <w:rFonts w:cstheme="minorHAnsi"/>
          <w:sz w:val="28"/>
          <w:szCs w:val="28"/>
        </w:rPr>
        <w:t>required to:</w:t>
      </w:r>
      <w:r w:rsidR="000C3EFC" w:rsidRPr="00607BFB">
        <w:rPr>
          <w:rFonts w:cstheme="minorHAnsi"/>
          <w:sz w:val="28"/>
          <w:szCs w:val="28"/>
        </w:rPr>
        <w:t xml:space="preserve"> break</w:t>
      </w:r>
      <w:r w:rsidR="002E3F45" w:rsidRPr="00607BFB">
        <w:rPr>
          <w:rFonts w:cstheme="minorHAnsi"/>
          <w:sz w:val="28"/>
          <w:szCs w:val="28"/>
        </w:rPr>
        <w:t xml:space="preserve"> </w:t>
      </w:r>
      <w:proofErr w:type="gramStart"/>
      <w:r w:rsidR="000C3EFC" w:rsidRPr="00607BFB">
        <w:rPr>
          <w:rFonts w:cstheme="minorHAnsi"/>
          <w:sz w:val="28"/>
          <w:szCs w:val="28"/>
        </w:rPr>
        <w:t>down  silos</w:t>
      </w:r>
      <w:proofErr w:type="gramEnd"/>
      <w:r w:rsidR="000C3EFC" w:rsidRPr="00607BFB">
        <w:rPr>
          <w:rFonts w:cstheme="minorHAnsi"/>
          <w:sz w:val="28"/>
          <w:szCs w:val="28"/>
        </w:rPr>
        <w:t xml:space="preserve"> across boundaries</w:t>
      </w:r>
      <w:r w:rsidR="0055531D" w:rsidRPr="00607BFB">
        <w:rPr>
          <w:rFonts w:cstheme="minorHAnsi"/>
          <w:sz w:val="28"/>
          <w:szCs w:val="28"/>
          <w:vertAlign w:val="superscript"/>
        </w:rPr>
        <w:t>4</w:t>
      </w:r>
      <w:r w:rsidR="005C34F5" w:rsidRPr="00607BFB">
        <w:rPr>
          <w:rFonts w:cstheme="minorHAnsi"/>
          <w:sz w:val="28"/>
          <w:szCs w:val="28"/>
        </w:rPr>
        <w:t xml:space="preserve">; </w:t>
      </w:r>
      <w:r w:rsidR="000C3EFC" w:rsidRPr="00607BFB">
        <w:rPr>
          <w:rFonts w:cstheme="minorHAnsi"/>
          <w:sz w:val="28"/>
          <w:szCs w:val="28"/>
        </w:rPr>
        <w:t>support pathways nearer to citizens homes; transform the workforce and culture of care</w:t>
      </w:r>
      <w:r w:rsidR="00995A45" w:rsidRPr="00607BFB">
        <w:rPr>
          <w:rFonts w:cstheme="minorHAnsi"/>
          <w:sz w:val="28"/>
          <w:szCs w:val="28"/>
        </w:rPr>
        <w:t>,</w:t>
      </w:r>
      <w:r w:rsidR="000C3EFC" w:rsidRPr="00607BFB">
        <w:rPr>
          <w:rFonts w:cstheme="minorHAnsi"/>
          <w:sz w:val="28"/>
          <w:szCs w:val="28"/>
        </w:rPr>
        <w:t xml:space="preserve"> develop and value collective leaders; as well as</w:t>
      </w:r>
      <w:r w:rsidR="005C34F5" w:rsidRPr="00607BFB">
        <w:rPr>
          <w:rFonts w:cstheme="minorHAnsi"/>
          <w:sz w:val="28"/>
          <w:szCs w:val="28"/>
        </w:rPr>
        <w:t>,</w:t>
      </w:r>
      <w:r w:rsidR="000C3EFC" w:rsidRPr="00607BFB">
        <w:rPr>
          <w:rFonts w:cstheme="minorHAnsi"/>
          <w:sz w:val="28"/>
          <w:szCs w:val="28"/>
        </w:rPr>
        <w:t xml:space="preserve"> evaluate and focus on what matters to people</w:t>
      </w:r>
      <w:r w:rsidR="00EB35D9" w:rsidRPr="00607BFB">
        <w:rPr>
          <w:rFonts w:cstheme="minorHAnsi"/>
          <w:sz w:val="28"/>
          <w:szCs w:val="28"/>
        </w:rPr>
        <w:t xml:space="preserve"> through </w:t>
      </w:r>
      <w:r w:rsidR="00007358" w:rsidRPr="00607BFB">
        <w:rPr>
          <w:rFonts w:cstheme="minorHAnsi"/>
          <w:sz w:val="28"/>
          <w:szCs w:val="28"/>
        </w:rPr>
        <w:t xml:space="preserve">place-based </w:t>
      </w:r>
      <w:r w:rsidR="00EB35D9" w:rsidRPr="00607BFB">
        <w:rPr>
          <w:rFonts w:cstheme="minorHAnsi"/>
          <w:sz w:val="28"/>
          <w:szCs w:val="28"/>
        </w:rPr>
        <w:t>learning</w:t>
      </w:r>
      <w:r w:rsidR="0055531D" w:rsidRPr="00607BFB">
        <w:rPr>
          <w:rFonts w:cstheme="minorHAnsi"/>
          <w:sz w:val="28"/>
          <w:szCs w:val="28"/>
          <w:vertAlign w:val="superscript"/>
        </w:rPr>
        <w:t>5</w:t>
      </w:r>
      <w:r w:rsidR="002E3F45" w:rsidRPr="00607BFB">
        <w:rPr>
          <w:rFonts w:cstheme="minorHAnsi"/>
          <w:sz w:val="28"/>
          <w:szCs w:val="28"/>
          <w:vertAlign w:val="superscript"/>
        </w:rPr>
        <w:t xml:space="preserve"> </w:t>
      </w:r>
      <w:r w:rsidR="002E3F45" w:rsidRPr="00607BFB">
        <w:rPr>
          <w:rFonts w:cstheme="minorHAnsi"/>
          <w:sz w:val="28"/>
          <w:szCs w:val="28"/>
        </w:rPr>
        <w:t>and embedded research</w:t>
      </w:r>
      <w:r w:rsidR="007114CD" w:rsidRPr="00607BFB">
        <w:rPr>
          <w:rFonts w:cstheme="minorHAnsi"/>
          <w:sz w:val="28"/>
          <w:szCs w:val="28"/>
          <w:vertAlign w:val="superscript"/>
        </w:rPr>
        <w:t>6</w:t>
      </w:r>
      <w:r w:rsidR="005C34F5" w:rsidRPr="00607BFB">
        <w:rPr>
          <w:rFonts w:cstheme="minorHAnsi"/>
          <w:sz w:val="28"/>
          <w:szCs w:val="28"/>
        </w:rPr>
        <w:t xml:space="preserve">. </w:t>
      </w:r>
      <w:r w:rsidR="000C3EFC" w:rsidRPr="00607BFB">
        <w:rPr>
          <w:rFonts w:cstheme="minorHAnsi"/>
          <w:sz w:val="28"/>
          <w:szCs w:val="28"/>
        </w:rPr>
        <w:t xml:space="preserve"> </w:t>
      </w:r>
      <w:r w:rsidR="00B25656" w:rsidRPr="00607BFB">
        <w:rPr>
          <w:rFonts w:cstheme="minorHAnsi"/>
          <w:sz w:val="28"/>
          <w:szCs w:val="28"/>
        </w:rPr>
        <w:t>These capabilities and the impact expected across system</w:t>
      </w:r>
      <w:r w:rsidR="005C34F5" w:rsidRPr="00607BFB">
        <w:rPr>
          <w:rFonts w:cstheme="minorHAnsi"/>
          <w:sz w:val="28"/>
          <w:szCs w:val="28"/>
        </w:rPr>
        <w:t>s</w:t>
      </w:r>
      <w:r w:rsidR="00B25656" w:rsidRPr="00607BFB">
        <w:rPr>
          <w:rFonts w:cstheme="minorHAnsi"/>
          <w:sz w:val="28"/>
          <w:szCs w:val="28"/>
        </w:rPr>
        <w:t xml:space="preserve"> are specified in Health Education England’s</w:t>
      </w:r>
      <w:r w:rsidR="005C34F5" w:rsidRPr="00607BFB">
        <w:rPr>
          <w:rFonts w:cstheme="minorHAnsi"/>
          <w:sz w:val="28"/>
          <w:szCs w:val="28"/>
        </w:rPr>
        <w:t xml:space="preserve"> M</w:t>
      </w:r>
      <w:r w:rsidR="00B25656" w:rsidRPr="00607BFB">
        <w:rPr>
          <w:rFonts w:cstheme="minorHAnsi"/>
          <w:sz w:val="28"/>
          <w:szCs w:val="28"/>
        </w:rPr>
        <w:t>ulti</w:t>
      </w:r>
      <w:r w:rsidR="005C34F5" w:rsidRPr="00607BFB">
        <w:rPr>
          <w:rFonts w:cstheme="minorHAnsi"/>
          <w:sz w:val="28"/>
          <w:szCs w:val="28"/>
        </w:rPr>
        <w:t>-</w:t>
      </w:r>
      <w:r w:rsidR="00B25656" w:rsidRPr="00607BFB">
        <w:rPr>
          <w:rFonts w:cstheme="minorHAnsi"/>
          <w:sz w:val="28"/>
          <w:szCs w:val="28"/>
        </w:rPr>
        <w:t xml:space="preserve"> </w:t>
      </w:r>
      <w:r w:rsidR="005C34F5" w:rsidRPr="00607BFB">
        <w:rPr>
          <w:rFonts w:cstheme="minorHAnsi"/>
          <w:sz w:val="28"/>
          <w:szCs w:val="28"/>
        </w:rPr>
        <w:t>P</w:t>
      </w:r>
      <w:r w:rsidR="00B25656" w:rsidRPr="00607BFB">
        <w:rPr>
          <w:rFonts w:cstheme="minorHAnsi"/>
          <w:sz w:val="28"/>
          <w:szCs w:val="28"/>
        </w:rPr>
        <w:t xml:space="preserve">rofessional </w:t>
      </w:r>
      <w:r w:rsidR="005C34F5" w:rsidRPr="00607BFB">
        <w:rPr>
          <w:rFonts w:cstheme="minorHAnsi"/>
          <w:sz w:val="28"/>
          <w:szCs w:val="28"/>
        </w:rPr>
        <w:t>C</w:t>
      </w:r>
      <w:r w:rsidR="00B25656" w:rsidRPr="00607BFB">
        <w:rPr>
          <w:rFonts w:cstheme="minorHAnsi"/>
          <w:sz w:val="28"/>
          <w:szCs w:val="28"/>
        </w:rPr>
        <w:t xml:space="preserve">onsultant </w:t>
      </w:r>
      <w:r w:rsidR="005C34F5" w:rsidRPr="00607BFB">
        <w:rPr>
          <w:rFonts w:cstheme="minorHAnsi"/>
          <w:sz w:val="28"/>
          <w:szCs w:val="28"/>
        </w:rPr>
        <w:t>C</w:t>
      </w:r>
      <w:r w:rsidR="00B25656" w:rsidRPr="00607BFB">
        <w:rPr>
          <w:rFonts w:cstheme="minorHAnsi"/>
          <w:sz w:val="28"/>
          <w:szCs w:val="28"/>
        </w:rPr>
        <w:t xml:space="preserve">apability and </w:t>
      </w:r>
      <w:r w:rsidR="005C34F5" w:rsidRPr="00607BFB">
        <w:rPr>
          <w:rFonts w:cstheme="minorHAnsi"/>
          <w:sz w:val="28"/>
          <w:szCs w:val="28"/>
        </w:rPr>
        <w:t>I</w:t>
      </w:r>
      <w:r w:rsidR="00B25656" w:rsidRPr="00607BFB">
        <w:rPr>
          <w:rFonts w:cstheme="minorHAnsi"/>
          <w:sz w:val="28"/>
          <w:szCs w:val="28"/>
        </w:rPr>
        <w:t xml:space="preserve">mpact </w:t>
      </w:r>
      <w:r w:rsidR="005C34F5" w:rsidRPr="00607BFB">
        <w:rPr>
          <w:rFonts w:cstheme="minorHAnsi"/>
          <w:sz w:val="28"/>
          <w:szCs w:val="28"/>
        </w:rPr>
        <w:t>F</w:t>
      </w:r>
      <w:r w:rsidR="00B25656" w:rsidRPr="00607BFB">
        <w:rPr>
          <w:rFonts w:cstheme="minorHAnsi"/>
          <w:sz w:val="28"/>
          <w:szCs w:val="28"/>
        </w:rPr>
        <w:t>ramework</w:t>
      </w:r>
      <w:r w:rsidR="007114CD" w:rsidRPr="00607BFB">
        <w:rPr>
          <w:rFonts w:cstheme="minorHAnsi"/>
          <w:sz w:val="28"/>
          <w:szCs w:val="28"/>
          <w:vertAlign w:val="superscript"/>
        </w:rPr>
        <w:t>7</w:t>
      </w:r>
      <w:r w:rsidR="00B25656" w:rsidRPr="00607BFB">
        <w:rPr>
          <w:rFonts w:cstheme="minorHAnsi"/>
          <w:sz w:val="28"/>
          <w:szCs w:val="28"/>
        </w:rPr>
        <w:t xml:space="preserve"> and include </w:t>
      </w:r>
      <w:r w:rsidR="005C34F5" w:rsidRPr="00607BFB">
        <w:rPr>
          <w:rFonts w:cstheme="minorHAnsi"/>
          <w:sz w:val="28"/>
          <w:szCs w:val="28"/>
        </w:rPr>
        <w:t>develop</w:t>
      </w:r>
      <w:r w:rsidR="00B25656" w:rsidRPr="00607BFB">
        <w:rPr>
          <w:rFonts w:cstheme="minorHAnsi"/>
          <w:sz w:val="28"/>
          <w:szCs w:val="28"/>
        </w:rPr>
        <w:t>ing</w:t>
      </w:r>
      <w:r w:rsidR="00E72302" w:rsidRPr="00607BFB">
        <w:rPr>
          <w:rFonts w:cstheme="minorHAnsi"/>
          <w:sz w:val="28"/>
          <w:szCs w:val="28"/>
        </w:rPr>
        <w:t xml:space="preserve"> the </w:t>
      </w:r>
      <w:r w:rsidR="005C34F5" w:rsidRPr="00607BFB">
        <w:rPr>
          <w:rFonts w:cstheme="minorHAnsi"/>
          <w:sz w:val="28"/>
          <w:szCs w:val="28"/>
        </w:rPr>
        <w:t>workforce,</w:t>
      </w:r>
      <w:r w:rsidR="00E72302" w:rsidRPr="00607BFB">
        <w:rPr>
          <w:rFonts w:cstheme="minorHAnsi"/>
          <w:sz w:val="28"/>
          <w:szCs w:val="28"/>
        </w:rPr>
        <w:t xml:space="preserve"> so capabilities are wrapped around the citizen rather than the profession, drawing on everyone’s talents and expertise through co-produ</w:t>
      </w:r>
      <w:r w:rsidR="00413B8D" w:rsidRPr="00607BFB">
        <w:rPr>
          <w:rFonts w:cstheme="minorHAnsi"/>
          <w:sz w:val="28"/>
          <w:szCs w:val="28"/>
        </w:rPr>
        <w:t>c</w:t>
      </w:r>
      <w:r w:rsidR="00E72302" w:rsidRPr="00607BFB">
        <w:rPr>
          <w:rFonts w:cstheme="minorHAnsi"/>
          <w:sz w:val="28"/>
          <w:szCs w:val="28"/>
        </w:rPr>
        <w:t xml:space="preserve">tion. </w:t>
      </w:r>
    </w:p>
    <w:p w14:paraId="62D8D923" w14:textId="33FCE60B" w:rsidR="00E75014" w:rsidRPr="00607BFB" w:rsidRDefault="00167066">
      <w:pPr>
        <w:rPr>
          <w:rFonts w:cstheme="minorHAnsi"/>
          <w:color w:val="222222"/>
          <w:sz w:val="28"/>
          <w:szCs w:val="28"/>
          <w:shd w:val="clear" w:color="auto" w:fill="FFFFFF"/>
        </w:rPr>
      </w:pP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lastRenderedPageBreak/>
        <w:t>Here</w:t>
      </w:r>
      <w:r w:rsidR="005C34F5" w:rsidRPr="00607BFB">
        <w:rPr>
          <w:rFonts w:cstheme="minorHAnsi"/>
          <w:color w:val="222222"/>
          <w:sz w:val="28"/>
          <w:szCs w:val="28"/>
          <w:shd w:val="clear" w:color="auto" w:fill="FFFFFF"/>
        </w:rPr>
        <w:t>, I provide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two</w:t>
      </w:r>
      <w:r w:rsidR="00E75014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>examples</w:t>
      </w:r>
      <w:r w:rsidR="00E75014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that modelled a co-production approach with multiple stakeholders along the patient pathway</w:t>
      </w:r>
      <w:r w:rsidR="005C34F5" w:rsidRPr="00607BFB">
        <w:rPr>
          <w:rFonts w:cstheme="minorHAnsi"/>
          <w:color w:val="222222"/>
          <w:sz w:val="28"/>
          <w:szCs w:val="28"/>
          <w:shd w:val="clear" w:color="auto" w:fill="FFFFFF"/>
        </w:rPr>
        <w:t>s across systems</w:t>
      </w:r>
      <w:r w:rsidR="00E75014" w:rsidRPr="00607BFB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14:paraId="7AC530D3" w14:textId="62A03CD8" w:rsidR="00E75014" w:rsidRPr="00607BFB" w:rsidRDefault="00E75014" w:rsidP="00E75014">
      <w:pPr>
        <w:pStyle w:val="ListParagraph"/>
        <w:numPr>
          <w:ilvl w:val="0"/>
          <w:numId w:val="6"/>
        </w:numPr>
        <w:rPr>
          <w:rFonts w:cstheme="minorHAnsi"/>
          <w:color w:val="222222"/>
          <w:sz w:val="28"/>
          <w:szCs w:val="28"/>
          <w:shd w:val="clear" w:color="auto" w:fill="FFFFFF"/>
        </w:rPr>
      </w:pP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>Developing the care pathway across one Integrated Care System for people following Traumatic Brain Injury</w:t>
      </w:r>
      <w:r w:rsidR="005C34F5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(TBI)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across one ICS</w:t>
      </w:r>
      <w:r w:rsidR="005C34F5" w:rsidRPr="00607BFB">
        <w:rPr>
          <w:rFonts w:cstheme="minorHAnsi"/>
          <w:color w:val="222222"/>
          <w:sz w:val="28"/>
          <w:szCs w:val="28"/>
          <w:shd w:val="clear" w:color="auto" w:fill="FFFFFF"/>
        </w:rPr>
        <w:t>, shared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in a recent multi-professional publication from the </w:t>
      </w:r>
      <w:r w:rsidR="0016768D" w:rsidRPr="00607BFB">
        <w:rPr>
          <w:rFonts w:cstheme="minorHAnsi"/>
          <w:color w:val="222222"/>
          <w:sz w:val="28"/>
          <w:szCs w:val="28"/>
          <w:shd w:val="clear" w:color="auto" w:fill="FFFFFF"/>
        </w:rPr>
        <w:t>S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>outh-</w:t>
      </w:r>
      <w:r w:rsidR="0016768D" w:rsidRPr="00607BFB">
        <w:rPr>
          <w:rFonts w:cstheme="minorHAnsi"/>
          <w:color w:val="222222"/>
          <w:sz w:val="28"/>
          <w:szCs w:val="28"/>
          <w:shd w:val="clear" w:color="auto" w:fill="FFFFFF"/>
        </w:rPr>
        <w:t>E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>ast of England</w:t>
      </w:r>
      <w:r w:rsidR="007114CD" w:rsidRPr="00607BFB">
        <w:rPr>
          <w:rFonts w:cstheme="minorHAnsi"/>
          <w:color w:val="222222"/>
          <w:sz w:val="28"/>
          <w:szCs w:val="28"/>
          <w:shd w:val="clear" w:color="auto" w:fill="FFFFFF"/>
          <w:vertAlign w:val="superscript"/>
        </w:rPr>
        <w:t>8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>;</w:t>
      </w:r>
    </w:p>
    <w:p w14:paraId="3543EE00" w14:textId="35F042D2" w:rsidR="00167066" w:rsidRPr="00607BFB" w:rsidRDefault="00E75014" w:rsidP="00E75014">
      <w:pPr>
        <w:pStyle w:val="ListParagraph"/>
        <w:numPr>
          <w:ilvl w:val="0"/>
          <w:numId w:val="6"/>
        </w:numPr>
        <w:rPr>
          <w:rFonts w:cstheme="minorHAnsi"/>
          <w:color w:val="222222"/>
          <w:sz w:val="28"/>
          <w:szCs w:val="28"/>
          <w:shd w:val="clear" w:color="auto" w:fill="FFFFFF"/>
        </w:rPr>
      </w:pP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>A</w:t>
      </w:r>
      <w:r w:rsidR="00167066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project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undertaken by the Impact </w:t>
      </w:r>
      <w:r w:rsidR="0016768D" w:rsidRPr="00607BFB">
        <w:rPr>
          <w:rFonts w:cstheme="minorHAnsi"/>
          <w:color w:val="222222"/>
          <w:sz w:val="28"/>
          <w:szCs w:val="28"/>
          <w:shd w:val="clear" w:color="auto" w:fill="FFFFFF"/>
        </w:rPr>
        <w:t>R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esearch </w:t>
      </w:r>
      <w:r w:rsidR="0016768D" w:rsidRPr="00607BFB">
        <w:rPr>
          <w:rFonts w:cstheme="minorHAnsi"/>
          <w:color w:val="222222"/>
          <w:sz w:val="28"/>
          <w:szCs w:val="28"/>
          <w:shd w:val="clear" w:color="auto" w:fill="FFFFFF"/>
        </w:rPr>
        <w:t>G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>roup at UEA</w:t>
      </w:r>
      <w:r w:rsidR="00167066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that focuses on the </w:t>
      </w:r>
      <w:r w:rsidR="00167066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Eyecare workforce </w:t>
      </w:r>
      <w:r w:rsidR="00B25656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across </w:t>
      </w:r>
      <w:r w:rsidR="0016768D" w:rsidRPr="00607BFB">
        <w:rPr>
          <w:rFonts w:cstheme="minorHAnsi"/>
          <w:color w:val="222222"/>
          <w:sz w:val="28"/>
          <w:szCs w:val="28"/>
          <w:shd w:val="clear" w:color="auto" w:fill="FFFFFF"/>
        </w:rPr>
        <w:t>Eastern</w:t>
      </w:r>
      <w:r w:rsidR="00B25656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region embr</w:t>
      </w:r>
      <w:r w:rsidR="0037436C" w:rsidRPr="00607BFB">
        <w:rPr>
          <w:rFonts w:cstheme="minorHAnsi"/>
          <w:color w:val="222222"/>
          <w:sz w:val="28"/>
          <w:szCs w:val="28"/>
          <w:shd w:val="clear" w:color="auto" w:fill="FFFFFF"/>
        </w:rPr>
        <w:t>acing</w:t>
      </w:r>
      <w:r w:rsidR="00B25656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6 ICSs</w:t>
      </w:r>
      <w:r w:rsidR="007114CD" w:rsidRPr="00607BFB">
        <w:rPr>
          <w:rFonts w:cstheme="minorHAnsi"/>
          <w:color w:val="222222"/>
          <w:sz w:val="28"/>
          <w:szCs w:val="28"/>
          <w:shd w:val="clear" w:color="auto" w:fill="FFFFFF"/>
          <w:vertAlign w:val="superscript"/>
        </w:rPr>
        <w:t>9</w:t>
      </w:r>
      <w:r w:rsidR="00B25656" w:rsidRPr="00607BFB">
        <w:rPr>
          <w:rFonts w:cstheme="minorHAnsi"/>
          <w:color w:val="222222"/>
          <w:sz w:val="28"/>
          <w:szCs w:val="28"/>
          <w:shd w:val="clear" w:color="auto" w:fill="FFFFFF"/>
        </w:rPr>
        <w:t>.</w:t>
      </w:r>
    </w:p>
    <w:p w14:paraId="34004919" w14:textId="57AE5A05" w:rsidR="00167066" w:rsidRPr="00607BFB" w:rsidRDefault="00167066">
      <w:pPr>
        <w:rPr>
          <w:rFonts w:cstheme="minorHAnsi"/>
          <w:sz w:val="28"/>
          <w:szCs w:val="28"/>
        </w:rPr>
      </w:pPr>
    </w:p>
    <w:p w14:paraId="5FA9A321" w14:textId="07C67361" w:rsidR="00C960F4" w:rsidRPr="00607BFB" w:rsidRDefault="00C960F4">
      <w:pPr>
        <w:rPr>
          <w:rFonts w:cstheme="minorHAnsi"/>
          <w:b/>
          <w:bCs/>
          <w:sz w:val="28"/>
          <w:szCs w:val="28"/>
        </w:rPr>
      </w:pPr>
      <w:r w:rsidRPr="00607BFB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People who have experienced Traumatic Brain Injury</w:t>
      </w:r>
      <w:r w:rsidR="007114CD" w:rsidRPr="00607BFB">
        <w:rPr>
          <w:rFonts w:cstheme="minorHAnsi"/>
          <w:b/>
          <w:bCs/>
          <w:color w:val="222222"/>
          <w:sz w:val="28"/>
          <w:szCs w:val="28"/>
          <w:shd w:val="clear" w:color="auto" w:fill="FFFFFF"/>
          <w:vertAlign w:val="superscript"/>
        </w:rPr>
        <w:t>8</w:t>
      </w:r>
      <w:r w:rsidRPr="00607BFB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 </w:t>
      </w:r>
    </w:p>
    <w:p w14:paraId="4B7778D0" w14:textId="3CE5554B" w:rsidR="00C960F4" w:rsidRPr="00607BFB" w:rsidRDefault="00167066">
      <w:p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W</w:t>
      </w:r>
      <w:r w:rsidR="00293980" w:rsidRPr="00607BFB">
        <w:rPr>
          <w:rFonts w:cstheme="minorHAnsi"/>
          <w:sz w:val="28"/>
          <w:szCs w:val="28"/>
        </w:rPr>
        <w:t>ith multi</w:t>
      </w:r>
      <w:r w:rsidR="00BD4556" w:rsidRPr="00607BFB">
        <w:rPr>
          <w:rFonts w:cstheme="minorHAnsi"/>
          <w:sz w:val="28"/>
          <w:szCs w:val="28"/>
        </w:rPr>
        <w:t>-</w:t>
      </w:r>
      <w:r w:rsidR="00293980" w:rsidRPr="00607BFB">
        <w:rPr>
          <w:rFonts w:cstheme="minorHAnsi"/>
          <w:sz w:val="28"/>
          <w:szCs w:val="28"/>
        </w:rPr>
        <w:t>professional colleagues</w:t>
      </w:r>
      <w:r w:rsidR="00773A89" w:rsidRPr="00607BFB">
        <w:rPr>
          <w:rFonts w:cstheme="minorHAnsi"/>
          <w:sz w:val="28"/>
          <w:szCs w:val="28"/>
        </w:rPr>
        <w:t xml:space="preserve"> across Kent and Medway</w:t>
      </w:r>
      <w:r w:rsidR="0016768D" w:rsidRPr="00607BFB">
        <w:rPr>
          <w:rFonts w:cstheme="minorHAnsi"/>
          <w:sz w:val="28"/>
          <w:szCs w:val="28"/>
        </w:rPr>
        <w:t xml:space="preserve"> ICS</w:t>
      </w:r>
      <w:r w:rsidR="00293980" w:rsidRPr="00607BFB">
        <w:rPr>
          <w:rFonts w:cstheme="minorHAnsi"/>
          <w:sz w:val="28"/>
          <w:szCs w:val="28"/>
        </w:rPr>
        <w:t xml:space="preserve"> early steps in a journey of</w:t>
      </w:r>
      <w:r w:rsidR="00C8579D" w:rsidRPr="00607BFB">
        <w:rPr>
          <w:rFonts w:cstheme="minorHAnsi"/>
          <w:sz w:val="28"/>
          <w:szCs w:val="28"/>
        </w:rPr>
        <w:t xml:space="preserve"> </w:t>
      </w:r>
      <w:r w:rsidR="00BD4556" w:rsidRPr="00607BFB">
        <w:rPr>
          <w:rFonts w:cstheme="minorHAnsi"/>
          <w:sz w:val="28"/>
          <w:szCs w:val="28"/>
        </w:rPr>
        <w:t>s</w:t>
      </w:r>
      <w:r w:rsidR="00537837" w:rsidRPr="00607BFB">
        <w:rPr>
          <w:rFonts w:cstheme="minorHAnsi"/>
          <w:sz w:val="28"/>
          <w:szCs w:val="28"/>
        </w:rPr>
        <w:t>ystem transformation</w:t>
      </w:r>
      <w:r w:rsidR="00BD4556" w:rsidRPr="00607BFB">
        <w:rPr>
          <w:rFonts w:cstheme="minorHAnsi"/>
          <w:sz w:val="28"/>
          <w:szCs w:val="28"/>
        </w:rPr>
        <w:t xml:space="preserve"> with people who had experienced Traumatic Brain Injury</w:t>
      </w:r>
      <w:r w:rsidR="00EB35D9" w:rsidRPr="00607BFB">
        <w:rPr>
          <w:rFonts w:cstheme="minorHAnsi"/>
          <w:sz w:val="28"/>
          <w:szCs w:val="28"/>
        </w:rPr>
        <w:t xml:space="preserve"> (TBI)</w:t>
      </w:r>
      <w:r w:rsidR="0016768D" w:rsidRPr="00607BFB">
        <w:rPr>
          <w:rFonts w:cstheme="minorHAnsi"/>
          <w:sz w:val="28"/>
          <w:szCs w:val="28"/>
        </w:rPr>
        <w:t xml:space="preserve"> have been co-created</w:t>
      </w:r>
      <w:r w:rsidR="00BD4556" w:rsidRPr="00607BFB">
        <w:rPr>
          <w:rFonts w:cstheme="minorHAnsi"/>
          <w:sz w:val="28"/>
          <w:szCs w:val="28"/>
        </w:rPr>
        <w:t>. Building on a ten</w:t>
      </w:r>
      <w:r w:rsidR="00EB35D9" w:rsidRPr="00607BFB">
        <w:rPr>
          <w:rFonts w:cstheme="minorHAnsi"/>
          <w:sz w:val="28"/>
          <w:szCs w:val="28"/>
        </w:rPr>
        <w:t>-</w:t>
      </w:r>
      <w:r w:rsidR="00BD4556" w:rsidRPr="00607BFB">
        <w:rPr>
          <w:rFonts w:cstheme="minorHAnsi"/>
          <w:sz w:val="28"/>
          <w:szCs w:val="28"/>
        </w:rPr>
        <w:t>year history of partnership working between people with TB</w:t>
      </w:r>
      <w:r w:rsidR="000D2ADA" w:rsidRPr="00607BFB">
        <w:rPr>
          <w:rFonts w:cstheme="minorHAnsi"/>
          <w:sz w:val="28"/>
          <w:szCs w:val="28"/>
        </w:rPr>
        <w:t xml:space="preserve">I, carers, families, </w:t>
      </w:r>
      <w:r w:rsidR="00BD4556" w:rsidRPr="00607BFB">
        <w:rPr>
          <w:rFonts w:cstheme="minorHAnsi"/>
          <w:sz w:val="28"/>
          <w:szCs w:val="28"/>
        </w:rPr>
        <w:t>charities and professionals with expertise to help them, an integrated implementation and impact framework was developed through a co</w:t>
      </w:r>
      <w:r w:rsidR="00BA3BC8" w:rsidRPr="00607BFB">
        <w:rPr>
          <w:rFonts w:cstheme="minorHAnsi"/>
          <w:sz w:val="28"/>
          <w:szCs w:val="28"/>
        </w:rPr>
        <w:t>-</w:t>
      </w:r>
      <w:r w:rsidR="00BD4556" w:rsidRPr="00607BFB">
        <w:rPr>
          <w:rFonts w:cstheme="minorHAnsi"/>
          <w:sz w:val="28"/>
          <w:szCs w:val="28"/>
        </w:rPr>
        <w:t>production workshop</w:t>
      </w:r>
      <w:r w:rsidR="00BA3BC8" w:rsidRPr="00607BFB">
        <w:rPr>
          <w:rFonts w:cstheme="minorHAnsi"/>
          <w:sz w:val="28"/>
          <w:szCs w:val="28"/>
        </w:rPr>
        <w:t>.</w:t>
      </w:r>
      <w:r w:rsidR="009E23A9" w:rsidRPr="00607BFB">
        <w:rPr>
          <w:rFonts w:cstheme="minorHAnsi"/>
          <w:sz w:val="28"/>
          <w:szCs w:val="28"/>
        </w:rPr>
        <w:t xml:space="preserve"> The</w:t>
      </w:r>
      <w:r w:rsidR="00BA3BC8" w:rsidRPr="00607BFB">
        <w:rPr>
          <w:rFonts w:cstheme="minorHAnsi"/>
          <w:sz w:val="28"/>
          <w:szCs w:val="28"/>
        </w:rPr>
        <w:t xml:space="preserve"> framework</w:t>
      </w:r>
      <w:r w:rsidR="0016768D" w:rsidRPr="00607BFB">
        <w:rPr>
          <w:rFonts w:cstheme="minorHAnsi"/>
          <w:sz w:val="28"/>
          <w:szCs w:val="28"/>
        </w:rPr>
        <w:t xml:space="preserve"> resulting</w:t>
      </w:r>
      <w:r w:rsidR="00BA3BC8" w:rsidRPr="00607BFB">
        <w:rPr>
          <w:rFonts w:cstheme="minorHAnsi"/>
          <w:sz w:val="28"/>
          <w:szCs w:val="28"/>
        </w:rPr>
        <w:t xml:space="preserve"> focussed</w:t>
      </w:r>
      <w:r w:rsidR="000D2ADA" w:rsidRPr="00607BFB">
        <w:rPr>
          <w:rFonts w:cstheme="minorHAnsi"/>
          <w:sz w:val="28"/>
          <w:szCs w:val="28"/>
        </w:rPr>
        <w:t xml:space="preserve"> </w:t>
      </w:r>
      <w:r w:rsidR="00EB35D9" w:rsidRPr="00607BFB">
        <w:rPr>
          <w:rFonts w:cstheme="minorHAnsi"/>
          <w:sz w:val="28"/>
          <w:szCs w:val="28"/>
        </w:rPr>
        <w:t xml:space="preserve">on 1) </w:t>
      </w:r>
      <w:r w:rsidR="000D2ADA" w:rsidRPr="00607BFB">
        <w:rPr>
          <w:rFonts w:cstheme="minorHAnsi"/>
          <w:sz w:val="28"/>
          <w:szCs w:val="28"/>
        </w:rPr>
        <w:t xml:space="preserve">the </w:t>
      </w:r>
      <w:r w:rsidR="00B25656" w:rsidRPr="00607BFB">
        <w:rPr>
          <w:rFonts w:cstheme="minorHAnsi"/>
          <w:sz w:val="28"/>
          <w:szCs w:val="28"/>
        </w:rPr>
        <w:t xml:space="preserve">care </w:t>
      </w:r>
      <w:r w:rsidR="000D2ADA" w:rsidRPr="00607BFB">
        <w:rPr>
          <w:rFonts w:cstheme="minorHAnsi"/>
          <w:sz w:val="28"/>
          <w:szCs w:val="28"/>
        </w:rPr>
        <w:t>pathway</w:t>
      </w:r>
      <w:r w:rsidR="00EB35D9" w:rsidRPr="00607BFB">
        <w:rPr>
          <w:rFonts w:cstheme="minorHAnsi"/>
          <w:sz w:val="28"/>
          <w:szCs w:val="28"/>
        </w:rPr>
        <w:t xml:space="preserve"> </w:t>
      </w:r>
      <w:r w:rsidR="00B25656" w:rsidRPr="00607BFB">
        <w:rPr>
          <w:rFonts w:cstheme="minorHAnsi"/>
          <w:sz w:val="28"/>
          <w:szCs w:val="28"/>
        </w:rPr>
        <w:t xml:space="preserve">across the ICS </w:t>
      </w:r>
      <w:r w:rsidR="0016768D" w:rsidRPr="00607BFB">
        <w:rPr>
          <w:rFonts w:cstheme="minorHAnsi"/>
          <w:sz w:val="28"/>
          <w:szCs w:val="28"/>
        </w:rPr>
        <w:t xml:space="preserve">at the </w:t>
      </w:r>
      <w:r w:rsidR="00C960F4" w:rsidRPr="00607BFB">
        <w:rPr>
          <w:rFonts w:cstheme="minorHAnsi"/>
          <w:sz w:val="28"/>
          <w:szCs w:val="28"/>
        </w:rPr>
        <w:t>micro-level</w:t>
      </w:r>
      <w:r w:rsidR="0016768D" w:rsidRPr="00607BFB">
        <w:rPr>
          <w:rFonts w:cstheme="minorHAnsi"/>
          <w:sz w:val="28"/>
          <w:szCs w:val="28"/>
        </w:rPr>
        <w:t>,</w:t>
      </w:r>
      <w:r w:rsidR="00EB35D9" w:rsidRPr="00607BFB">
        <w:rPr>
          <w:rFonts w:cstheme="minorHAnsi"/>
          <w:sz w:val="28"/>
          <w:szCs w:val="28"/>
        </w:rPr>
        <w:t xml:space="preserve"> </w:t>
      </w:r>
      <w:r w:rsidR="00C960F4" w:rsidRPr="00607BFB">
        <w:rPr>
          <w:rFonts w:cstheme="minorHAnsi"/>
          <w:sz w:val="28"/>
          <w:szCs w:val="28"/>
        </w:rPr>
        <w:t xml:space="preserve">and 2) the macro </w:t>
      </w:r>
      <w:r w:rsidR="00DF41DE" w:rsidRPr="00607BFB">
        <w:rPr>
          <w:rFonts w:cstheme="minorHAnsi"/>
          <w:sz w:val="28"/>
          <w:szCs w:val="28"/>
        </w:rPr>
        <w:t>-l</w:t>
      </w:r>
      <w:r w:rsidR="00C960F4" w:rsidRPr="00607BFB">
        <w:rPr>
          <w:rFonts w:cstheme="minorHAnsi"/>
          <w:sz w:val="28"/>
          <w:szCs w:val="28"/>
        </w:rPr>
        <w:t>evel</w:t>
      </w:r>
      <w:r w:rsidR="0016768D" w:rsidRPr="00607BFB">
        <w:rPr>
          <w:rFonts w:cstheme="minorHAnsi"/>
          <w:sz w:val="28"/>
          <w:szCs w:val="28"/>
        </w:rPr>
        <w:t xml:space="preserve"> – the ICS itself</w:t>
      </w:r>
      <w:r w:rsidR="00C960F4" w:rsidRPr="00607BFB">
        <w:rPr>
          <w:rFonts w:cstheme="minorHAnsi"/>
          <w:sz w:val="28"/>
          <w:szCs w:val="28"/>
        </w:rPr>
        <w:t>.</w:t>
      </w:r>
    </w:p>
    <w:p w14:paraId="43BFE3EC" w14:textId="2546C9A6" w:rsidR="00C960F4" w:rsidRPr="00607BFB" w:rsidRDefault="00C960F4">
      <w:p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The pathway</w:t>
      </w:r>
      <w:r w:rsidR="00E75014" w:rsidRPr="00607BFB">
        <w:rPr>
          <w:rFonts w:cstheme="minorHAnsi"/>
          <w:sz w:val="28"/>
          <w:szCs w:val="28"/>
        </w:rPr>
        <w:t xml:space="preserve"> </w:t>
      </w:r>
      <w:r w:rsidR="00413B8D" w:rsidRPr="00607BFB">
        <w:rPr>
          <w:rFonts w:cstheme="minorHAnsi"/>
          <w:sz w:val="28"/>
          <w:szCs w:val="28"/>
        </w:rPr>
        <w:t>framework</w:t>
      </w:r>
      <w:r w:rsidR="00E75014" w:rsidRPr="00607BFB">
        <w:rPr>
          <w:rFonts w:cstheme="minorHAnsi"/>
          <w:sz w:val="28"/>
          <w:szCs w:val="28"/>
        </w:rPr>
        <w:t xml:space="preserve"> resulted in identifying the</w:t>
      </w:r>
      <w:r w:rsidRPr="00607BFB">
        <w:rPr>
          <w:rFonts w:cstheme="minorHAnsi"/>
          <w:sz w:val="28"/>
          <w:szCs w:val="28"/>
        </w:rPr>
        <w:t xml:space="preserve"> activities, enablers and outcomes in relation to what matters </w:t>
      </w:r>
      <w:r w:rsidR="00E75014" w:rsidRPr="00607BFB">
        <w:rPr>
          <w:rFonts w:cstheme="minorHAnsi"/>
          <w:sz w:val="28"/>
          <w:szCs w:val="28"/>
        </w:rPr>
        <w:t>at</w:t>
      </w:r>
      <w:r w:rsidR="00EB35D9" w:rsidRPr="00607BFB">
        <w:rPr>
          <w:rFonts w:cstheme="minorHAnsi"/>
          <w:sz w:val="28"/>
          <w:szCs w:val="28"/>
        </w:rPr>
        <w:t xml:space="preserve"> the level at which service users and providers directly interact and interface with each other</w:t>
      </w:r>
      <w:r w:rsidR="00E75014" w:rsidRPr="00607BFB">
        <w:rPr>
          <w:rFonts w:cstheme="minorHAnsi"/>
          <w:sz w:val="28"/>
          <w:szCs w:val="28"/>
        </w:rPr>
        <w:t xml:space="preserve"> – the micro system level</w:t>
      </w:r>
      <w:r w:rsidR="00167066" w:rsidRPr="00607BFB">
        <w:rPr>
          <w:rFonts w:cstheme="minorHAnsi"/>
          <w:sz w:val="28"/>
          <w:szCs w:val="28"/>
        </w:rPr>
        <w:t xml:space="preserve">. </w:t>
      </w:r>
      <w:r w:rsidR="00B25656" w:rsidRPr="00607BFB">
        <w:rPr>
          <w:rFonts w:cstheme="minorHAnsi"/>
          <w:sz w:val="28"/>
          <w:szCs w:val="28"/>
        </w:rPr>
        <w:t>Particular</w:t>
      </w:r>
      <w:r w:rsidR="00167066" w:rsidRPr="00607BFB">
        <w:rPr>
          <w:rFonts w:cstheme="minorHAnsi"/>
          <w:sz w:val="28"/>
          <w:szCs w:val="28"/>
        </w:rPr>
        <w:t xml:space="preserve"> needs </w:t>
      </w:r>
      <w:proofErr w:type="gramStart"/>
      <w:r w:rsidRPr="00607BFB">
        <w:rPr>
          <w:rFonts w:cstheme="minorHAnsi"/>
          <w:sz w:val="28"/>
          <w:szCs w:val="28"/>
        </w:rPr>
        <w:t xml:space="preserve">identified </w:t>
      </w:r>
      <w:r w:rsidR="00167066" w:rsidRPr="00607BFB">
        <w:rPr>
          <w:rFonts w:cstheme="minorHAnsi"/>
          <w:sz w:val="28"/>
          <w:szCs w:val="28"/>
        </w:rPr>
        <w:t xml:space="preserve"> in</w:t>
      </w:r>
      <w:proofErr w:type="gramEnd"/>
      <w:r w:rsidR="00167066" w:rsidRPr="00607BFB">
        <w:rPr>
          <w:rFonts w:cstheme="minorHAnsi"/>
          <w:sz w:val="28"/>
          <w:szCs w:val="28"/>
        </w:rPr>
        <w:t xml:space="preserve"> the </w:t>
      </w:r>
      <w:r w:rsidR="00B25656" w:rsidRPr="00607BFB">
        <w:rPr>
          <w:rFonts w:cstheme="minorHAnsi"/>
          <w:sz w:val="28"/>
          <w:szCs w:val="28"/>
        </w:rPr>
        <w:t>p</w:t>
      </w:r>
      <w:r w:rsidR="00167066" w:rsidRPr="00607BFB">
        <w:rPr>
          <w:rFonts w:cstheme="minorHAnsi"/>
          <w:sz w:val="28"/>
          <w:szCs w:val="28"/>
        </w:rPr>
        <w:t xml:space="preserve">athway </w:t>
      </w:r>
      <w:r w:rsidRPr="00607BFB">
        <w:rPr>
          <w:rFonts w:cstheme="minorHAnsi"/>
          <w:sz w:val="28"/>
          <w:szCs w:val="28"/>
        </w:rPr>
        <w:t>included:</w:t>
      </w:r>
      <w:r w:rsidR="00167066" w:rsidRPr="00607BFB">
        <w:rPr>
          <w:rFonts w:cstheme="minorHAnsi"/>
          <w:sz w:val="28"/>
          <w:szCs w:val="28"/>
        </w:rPr>
        <w:t xml:space="preserve"> case</w:t>
      </w:r>
      <w:r w:rsidR="00B25656" w:rsidRPr="00607BFB">
        <w:rPr>
          <w:rFonts w:cstheme="minorHAnsi"/>
          <w:sz w:val="28"/>
          <w:szCs w:val="28"/>
        </w:rPr>
        <w:t xml:space="preserve"> </w:t>
      </w:r>
      <w:r w:rsidR="00167066" w:rsidRPr="00607BFB">
        <w:rPr>
          <w:rFonts w:cstheme="minorHAnsi"/>
          <w:sz w:val="28"/>
          <w:szCs w:val="28"/>
        </w:rPr>
        <w:t xml:space="preserve">managers who could provide </w:t>
      </w:r>
      <w:r w:rsidR="00B25656" w:rsidRPr="00607BFB">
        <w:rPr>
          <w:rFonts w:cstheme="minorHAnsi"/>
          <w:sz w:val="28"/>
          <w:szCs w:val="28"/>
        </w:rPr>
        <w:t>continuity</w:t>
      </w:r>
      <w:r w:rsidRPr="00607BFB">
        <w:rPr>
          <w:rFonts w:cstheme="minorHAnsi"/>
          <w:sz w:val="28"/>
          <w:szCs w:val="28"/>
        </w:rPr>
        <w:t xml:space="preserve"> across all boundaries and partners</w:t>
      </w:r>
      <w:r w:rsidR="00E75014" w:rsidRPr="00607BFB">
        <w:rPr>
          <w:rFonts w:cstheme="minorHAnsi"/>
          <w:sz w:val="28"/>
          <w:szCs w:val="28"/>
        </w:rPr>
        <w:t xml:space="preserve"> to </w:t>
      </w:r>
      <w:r w:rsidRPr="00607BFB">
        <w:rPr>
          <w:rFonts w:cstheme="minorHAnsi"/>
          <w:sz w:val="28"/>
          <w:szCs w:val="28"/>
        </w:rPr>
        <w:t>enabl</w:t>
      </w:r>
      <w:r w:rsidR="00E75014" w:rsidRPr="00607BFB">
        <w:rPr>
          <w:rFonts w:cstheme="minorHAnsi"/>
          <w:sz w:val="28"/>
          <w:szCs w:val="28"/>
        </w:rPr>
        <w:t>e</w:t>
      </w:r>
      <w:r w:rsidRPr="00607BFB">
        <w:rPr>
          <w:rFonts w:cstheme="minorHAnsi"/>
          <w:sz w:val="28"/>
          <w:szCs w:val="28"/>
        </w:rPr>
        <w:t xml:space="preserve"> a joined up approach for the person and </w:t>
      </w:r>
      <w:r w:rsidR="00B25656" w:rsidRPr="00607BFB">
        <w:rPr>
          <w:rFonts w:cstheme="minorHAnsi"/>
          <w:sz w:val="28"/>
          <w:szCs w:val="28"/>
        </w:rPr>
        <w:t>their</w:t>
      </w:r>
      <w:r w:rsidRPr="00607BFB">
        <w:rPr>
          <w:rFonts w:cstheme="minorHAnsi"/>
          <w:sz w:val="28"/>
          <w:szCs w:val="28"/>
        </w:rPr>
        <w:t xml:space="preserve"> family</w:t>
      </w:r>
      <w:r w:rsidR="00167066" w:rsidRPr="00607BFB">
        <w:rPr>
          <w:rFonts w:cstheme="minorHAnsi"/>
          <w:sz w:val="28"/>
          <w:szCs w:val="28"/>
        </w:rPr>
        <w:t>;</w:t>
      </w:r>
      <w:r w:rsidRPr="00607BFB">
        <w:rPr>
          <w:rFonts w:cstheme="minorHAnsi"/>
          <w:sz w:val="28"/>
          <w:szCs w:val="28"/>
        </w:rPr>
        <w:t xml:space="preserve"> the </w:t>
      </w:r>
      <w:r w:rsidR="00E75014" w:rsidRPr="00607BFB">
        <w:rPr>
          <w:rFonts w:cstheme="minorHAnsi"/>
          <w:sz w:val="28"/>
          <w:szCs w:val="28"/>
        </w:rPr>
        <w:t>need for the workforce</w:t>
      </w:r>
      <w:r w:rsidRPr="00607BFB">
        <w:rPr>
          <w:rFonts w:cstheme="minorHAnsi"/>
          <w:sz w:val="28"/>
          <w:szCs w:val="28"/>
        </w:rPr>
        <w:t xml:space="preserve"> to </w:t>
      </w:r>
      <w:r w:rsidR="00B25656" w:rsidRPr="00607BFB">
        <w:rPr>
          <w:rFonts w:cstheme="minorHAnsi"/>
          <w:sz w:val="28"/>
          <w:szCs w:val="28"/>
        </w:rPr>
        <w:t xml:space="preserve">explore, </w:t>
      </w:r>
      <w:r w:rsidR="00167066" w:rsidRPr="00607BFB">
        <w:rPr>
          <w:rFonts w:cstheme="minorHAnsi"/>
          <w:sz w:val="28"/>
          <w:szCs w:val="28"/>
        </w:rPr>
        <w:t xml:space="preserve"> </w:t>
      </w:r>
      <w:r w:rsidR="00B25656" w:rsidRPr="00607BFB">
        <w:rPr>
          <w:rFonts w:cstheme="minorHAnsi"/>
          <w:sz w:val="28"/>
          <w:szCs w:val="28"/>
        </w:rPr>
        <w:t>recognise</w:t>
      </w:r>
      <w:r w:rsidR="00167066" w:rsidRPr="00607BFB">
        <w:rPr>
          <w:rFonts w:cstheme="minorHAnsi"/>
          <w:sz w:val="28"/>
          <w:szCs w:val="28"/>
        </w:rPr>
        <w:t xml:space="preserve"> and work with emotions as these related to what mat</w:t>
      </w:r>
      <w:r w:rsidR="00B25656" w:rsidRPr="00607BFB">
        <w:rPr>
          <w:rFonts w:cstheme="minorHAnsi"/>
          <w:sz w:val="28"/>
          <w:szCs w:val="28"/>
        </w:rPr>
        <w:t>t</w:t>
      </w:r>
      <w:r w:rsidR="00167066" w:rsidRPr="00607BFB">
        <w:rPr>
          <w:rFonts w:cstheme="minorHAnsi"/>
          <w:sz w:val="28"/>
          <w:szCs w:val="28"/>
        </w:rPr>
        <w:t xml:space="preserve">ered to the person, carers and </w:t>
      </w:r>
      <w:r w:rsidR="00B25656" w:rsidRPr="00607BFB">
        <w:rPr>
          <w:rFonts w:cstheme="minorHAnsi"/>
          <w:sz w:val="28"/>
          <w:szCs w:val="28"/>
        </w:rPr>
        <w:t>families</w:t>
      </w:r>
      <w:r w:rsidRPr="00607BFB">
        <w:rPr>
          <w:rFonts w:cstheme="minorHAnsi"/>
          <w:sz w:val="28"/>
          <w:szCs w:val="28"/>
        </w:rPr>
        <w:t>;</w:t>
      </w:r>
      <w:r w:rsidR="00EB35D9" w:rsidRPr="00607BFB">
        <w:rPr>
          <w:rFonts w:cstheme="minorHAnsi"/>
          <w:sz w:val="28"/>
          <w:szCs w:val="28"/>
        </w:rPr>
        <w:t xml:space="preserve"> </w:t>
      </w:r>
      <w:r w:rsidR="000D2ADA" w:rsidRPr="00607BFB">
        <w:rPr>
          <w:rFonts w:cstheme="minorHAnsi"/>
          <w:sz w:val="28"/>
          <w:szCs w:val="28"/>
        </w:rPr>
        <w:t>and</w:t>
      </w:r>
      <w:r w:rsidR="00B25656" w:rsidRPr="00607BFB">
        <w:rPr>
          <w:rFonts w:cstheme="minorHAnsi"/>
          <w:sz w:val="28"/>
          <w:szCs w:val="28"/>
        </w:rPr>
        <w:t>,</w:t>
      </w:r>
      <w:r w:rsidR="00167066" w:rsidRPr="00607BFB">
        <w:rPr>
          <w:rFonts w:cstheme="minorHAnsi"/>
          <w:sz w:val="28"/>
          <w:szCs w:val="28"/>
        </w:rPr>
        <w:t xml:space="preserve">  </w:t>
      </w:r>
      <w:r w:rsidR="0016768D" w:rsidRPr="00607BFB">
        <w:rPr>
          <w:rFonts w:cstheme="minorHAnsi"/>
          <w:sz w:val="28"/>
          <w:szCs w:val="28"/>
        </w:rPr>
        <w:t>to measure what matters t</w:t>
      </w:r>
      <w:r w:rsidR="00DF41DE" w:rsidRPr="00607BFB">
        <w:rPr>
          <w:rFonts w:cstheme="minorHAnsi"/>
          <w:sz w:val="28"/>
          <w:szCs w:val="28"/>
        </w:rPr>
        <w:t>hat informs</w:t>
      </w:r>
      <w:r w:rsidR="0016768D" w:rsidRPr="00607BFB">
        <w:rPr>
          <w:rFonts w:cstheme="minorHAnsi"/>
          <w:sz w:val="28"/>
          <w:szCs w:val="28"/>
        </w:rPr>
        <w:t xml:space="preserve"> </w:t>
      </w:r>
      <w:r w:rsidR="00DF41DE" w:rsidRPr="00607BFB">
        <w:rPr>
          <w:rFonts w:cstheme="minorHAnsi"/>
          <w:sz w:val="28"/>
          <w:szCs w:val="28"/>
        </w:rPr>
        <w:t>learning</w:t>
      </w:r>
      <w:r w:rsidR="0016768D" w:rsidRPr="00607BFB">
        <w:rPr>
          <w:rFonts w:cstheme="minorHAnsi"/>
          <w:sz w:val="28"/>
          <w:szCs w:val="28"/>
        </w:rPr>
        <w:t xml:space="preserve"> and </w:t>
      </w:r>
      <w:r w:rsidR="00DF41DE" w:rsidRPr="00607BFB">
        <w:rPr>
          <w:rFonts w:cstheme="minorHAnsi"/>
          <w:sz w:val="28"/>
          <w:szCs w:val="28"/>
        </w:rPr>
        <w:t>improvement</w:t>
      </w:r>
      <w:r w:rsidR="0016768D" w:rsidRPr="00607BFB">
        <w:rPr>
          <w:rFonts w:cstheme="minorHAnsi"/>
          <w:sz w:val="28"/>
          <w:szCs w:val="28"/>
        </w:rPr>
        <w:t xml:space="preserve"> rather than what is mandated.</w:t>
      </w:r>
    </w:p>
    <w:p w14:paraId="35E2B286" w14:textId="0A4B520F" w:rsidR="00E2367B" w:rsidRPr="00607BFB" w:rsidRDefault="00C960F4">
      <w:p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T</w:t>
      </w:r>
      <w:r w:rsidR="000D2ADA" w:rsidRPr="00607BFB">
        <w:rPr>
          <w:rFonts w:cstheme="minorHAnsi"/>
          <w:sz w:val="28"/>
          <w:szCs w:val="28"/>
        </w:rPr>
        <w:t>he macro</w:t>
      </w:r>
      <w:r w:rsidR="00EB35D9" w:rsidRPr="00607BFB">
        <w:rPr>
          <w:rFonts w:cstheme="minorHAnsi"/>
          <w:sz w:val="28"/>
          <w:szCs w:val="28"/>
        </w:rPr>
        <w:t xml:space="preserve"> system</w:t>
      </w:r>
      <w:r w:rsidR="000D2ADA" w:rsidRPr="00607BFB">
        <w:rPr>
          <w:rFonts w:cstheme="minorHAnsi"/>
          <w:sz w:val="28"/>
          <w:szCs w:val="28"/>
        </w:rPr>
        <w:t xml:space="preserve"> level</w:t>
      </w:r>
      <w:r w:rsidR="00BA3BC8" w:rsidRPr="00607BFB">
        <w:rPr>
          <w:rFonts w:cstheme="minorHAnsi"/>
          <w:sz w:val="28"/>
          <w:szCs w:val="28"/>
        </w:rPr>
        <w:t xml:space="preserve"> </w:t>
      </w:r>
      <w:r w:rsidR="00B25656" w:rsidRPr="00607BFB">
        <w:rPr>
          <w:rFonts w:cstheme="minorHAnsi"/>
          <w:sz w:val="28"/>
          <w:szCs w:val="28"/>
        </w:rPr>
        <w:t>at ICS level</w:t>
      </w:r>
      <w:r w:rsidR="00E75014" w:rsidRPr="00607BFB">
        <w:rPr>
          <w:rFonts w:cstheme="minorHAnsi"/>
          <w:sz w:val="28"/>
          <w:szCs w:val="28"/>
        </w:rPr>
        <w:t xml:space="preserve"> resulted in</w:t>
      </w:r>
      <w:r w:rsidR="00B25656" w:rsidRPr="00607BFB">
        <w:rPr>
          <w:rFonts w:cstheme="minorHAnsi"/>
          <w:sz w:val="28"/>
          <w:szCs w:val="28"/>
        </w:rPr>
        <w:t xml:space="preserve"> </w:t>
      </w:r>
      <w:r w:rsidR="0037436C" w:rsidRPr="00607BFB">
        <w:rPr>
          <w:rFonts w:cstheme="minorHAnsi"/>
          <w:sz w:val="28"/>
          <w:szCs w:val="28"/>
        </w:rPr>
        <w:t>identif</w:t>
      </w:r>
      <w:r w:rsidR="00E75014" w:rsidRPr="00607BFB">
        <w:rPr>
          <w:rFonts w:cstheme="minorHAnsi"/>
          <w:sz w:val="28"/>
          <w:szCs w:val="28"/>
        </w:rPr>
        <w:t>ying</w:t>
      </w:r>
      <w:r w:rsidR="00B25656" w:rsidRPr="00607BFB">
        <w:rPr>
          <w:rFonts w:cstheme="minorHAnsi"/>
          <w:sz w:val="28"/>
          <w:szCs w:val="28"/>
        </w:rPr>
        <w:t xml:space="preserve"> the</w:t>
      </w:r>
      <w:r w:rsidR="00EB35D9" w:rsidRPr="00607BFB">
        <w:rPr>
          <w:rFonts w:cstheme="minorHAnsi"/>
          <w:sz w:val="28"/>
          <w:szCs w:val="28"/>
        </w:rPr>
        <w:t xml:space="preserve"> infrastructure and resources, workforce development and networks for </w:t>
      </w:r>
      <w:r w:rsidR="00E2367B" w:rsidRPr="00607BFB">
        <w:rPr>
          <w:rFonts w:cstheme="minorHAnsi"/>
          <w:sz w:val="28"/>
          <w:szCs w:val="28"/>
        </w:rPr>
        <w:t xml:space="preserve">developing </w:t>
      </w:r>
      <w:r w:rsidR="0037436C" w:rsidRPr="00607BFB">
        <w:rPr>
          <w:rFonts w:cstheme="minorHAnsi"/>
          <w:sz w:val="28"/>
          <w:szCs w:val="28"/>
        </w:rPr>
        <w:t>place-based</w:t>
      </w:r>
      <w:r w:rsidR="00E2367B" w:rsidRPr="00607BFB">
        <w:rPr>
          <w:rFonts w:cstheme="minorHAnsi"/>
          <w:sz w:val="28"/>
          <w:szCs w:val="28"/>
        </w:rPr>
        <w:t xml:space="preserve"> learning and improving cultures for optimal effect across communities to support and sustain micro system</w:t>
      </w:r>
      <w:r w:rsidR="009E23A9" w:rsidRPr="00607BFB">
        <w:rPr>
          <w:rFonts w:cstheme="minorHAnsi"/>
          <w:sz w:val="28"/>
          <w:szCs w:val="28"/>
        </w:rPr>
        <w:t>s</w:t>
      </w:r>
      <w:r w:rsidR="00E2367B" w:rsidRPr="00607BFB">
        <w:rPr>
          <w:rFonts w:cstheme="minorHAnsi"/>
          <w:sz w:val="28"/>
          <w:szCs w:val="28"/>
        </w:rPr>
        <w:t>. Th</w:t>
      </w:r>
      <w:r w:rsidR="009E23A9" w:rsidRPr="00607BFB">
        <w:rPr>
          <w:rFonts w:cstheme="minorHAnsi"/>
          <w:sz w:val="28"/>
          <w:szCs w:val="28"/>
        </w:rPr>
        <w:t>e macro</w:t>
      </w:r>
      <w:r w:rsidR="00E2367B" w:rsidRPr="00607BFB">
        <w:rPr>
          <w:rFonts w:cstheme="minorHAnsi"/>
          <w:sz w:val="28"/>
          <w:szCs w:val="28"/>
        </w:rPr>
        <w:t xml:space="preserve"> level </w:t>
      </w:r>
      <w:r w:rsidR="00B25656" w:rsidRPr="00607BFB">
        <w:rPr>
          <w:rFonts w:cstheme="minorHAnsi"/>
          <w:sz w:val="28"/>
          <w:szCs w:val="28"/>
        </w:rPr>
        <w:t xml:space="preserve">also </w:t>
      </w:r>
      <w:r w:rsidR="00E2367B" w:rsidRPr="00607BFB">
        <w:rPr>
          <w:rFonts w:cstheme="minorHAnsi"/>
          <w:sz w:val="28"/>
          <w:szCs w:val="28"/>
        </w:rPr>
        <w:t>embrace</w:t>
      </w:r>
      <w:r w:rsidR="00DF41DE" w:rsidRPr="00607BFB">
        <w:rPr>
          <w:rFonts w:cstheme="minorHAnsi"/>
          <w:sz w:val="28"/>
          <w:szCs w:val="28"/>
        </w:rPr>
        <w:t>d</w:t>
      </w:r>
      <w:r w:rsidR="00E2367B" w:rsidRPr="00607BFB">
        <w:rPr>
          <w:rFonts w:cstheme="minorHAnsi"/>
          <w:sz w:val="28"/>
          <w:szCs w:val="28"/>
        </w:rPr>
        <w:t xml:space="preserve"> stakeholder commissioning</w:t>
      </w:r>
      <w:r w:rsidR="00B25656" w:rsidRPr="00607BFB">
        <w:rPr>
          <w:rFonts w:cstheme="minorHAnsi"/>
          <w:sz w:val="28"/>
          <w:szCs w:val="28"/>
        </w:rPr>
        <w:t>, the development and evaluation of</w:t>
      </w:r>
      <w:r w:rsidR="00E2367B" w:rsidRPr="00607BFB">
        <w:rPr>
          <w:rFonts w:cstheme="minorHAnsi"/>
          <w:sz w:val="28"/>
          <w:szCs w:val="28"/>
        </w:rPr>
        <w:t xml:space="preserve"> indicators of effectiveness based on what matters </w:t>
      </w:r>
      <w:r w:rsidR="00EB35D9" w:rsidRPr="00607BFB">
        <w:rPr>
          <w:rFonts w:cstheme="minorHAnsi"/>
          <w:sz w:val="28"/>
          <w:szCs w:val="28"/>
        </w:rPr>
        <w:t>to</w:t>
      </w:r>
      <w:r w:rsidR="00E2367B" w:rsidRPr="00607BFB">
        <w:rPr>
          <w:rFonts w:cstheme="minorHAnsi"/>
          <w:sz w:val="28"/>
          <w:szCs w:val="28"/>
        </w:rPr>
        <w:t xml:space="preserve"> </w:t>
      </w:r>
      <w:r w:rsidR="009E23A9" w:rsidRPr="00607BFB">
        <w:rPr>
          <w:rFonts w:cstheme="minorHAnsi"/>
          <w:sz w:val="28"/>
          <w:szCs w:val="28"/>
        </w:rPr>
        <w:t>citizens and the workforce</w:t>
      </w:r>
      <w:r w:rsidR="00B25656" w:rsidRPr="00607BFB">
        <w:rPr>
          <w:rFonts w:cstheme="minorHAnsi"/>
          <w:sz w:val="28"/>
          <w:szCs w:val="28"/>
        </w:rPr>
        <w:t>. S</w:t>
      </w:r>
      <w:r w:rsidR="009E23A9" w:rsidRPr="00607BFB">
        <w:rPr>
          <w:rFonts w:cstheme="minorHAnsi"/>
          <w:sz w:val="28"/>
          <w:szCs w:val="28"/>
        </w:rPr>
        <w:t xml:space="preserve">ystems leadership </w:t>
      </w:r>
      <w:r w:rsidR="00DF41DE" w:rsidRPr="00607BFB">
        <w:rPr>
          <w:rFonts w:cstheme="minorHAnsi"/>
          <w:sz w:val="28"/>
          <w:szCs w:val="28"/>
        </w:rPr>
        <w:t>was identified as</w:t>
      </w:r>
      <w:r w:rsidR="009E23A9" w:rsidRPr="00607BFB">
        <w:rPr>
          <w:rFonts w:cstheme="minorHAnsi"/>
          <w:sz w:val="28"/>
          <w:szCs w:val="28"/>
        </w:rPr>
        <w:t xml:space="preserve"> a </w:t>
      </w:r>
      <w:r w:rsidR="00413B8D" w:rsidRPr="00607BFB">
        <w:rPr>
          <w:rFonts w:cstheme="minorHAnsi"/>
          <w:sz w:val="28"/>
          <w:szCs w:val="28"/>
        </w:rPr>
        <w:t>pivotal</w:t>
      </w:r>
      <w:r w:rsidR="009E23A9" w:rsidRPr="00607BFB">
        <w:rPr>
          <w:rFonts w:cstheme="minorHAnsi"/>
          <w:sz w:val="28"/>
          <w:szCs w:val="28"/>
        </w:rPr>
        <w:t xml:space="preserve"> lever and </w:t>
      </w:r>
      <w:r w:rsidR="00E75014" w:rsidRPr="00607BFB">
        <w:rPr>
          <w:rFonts w:cstheme="minorHAnsi"/>
          <w:sz w:val="28"/>
          <w:szCs w:val="28"/>
        </w:rPr>
        <w:t>catalyst for</w:t>
      </w:r>
      <w:r w:rsidR="00B25656" w:rsidRPr="00607BFB">
        <w:rPr>
          <w:rFonts w:cstheme="minorHAnsi"/>
          <w:sz w:val="28"/>
          <w:szCs w:val="28"/>
        </w:rPr>
        <w:t xml:space="preserve"> achieving </w:t>
      </w:r>
      <w:r w:rsidR="00DF41DE" w:rsidRPr="00607BFB">
        <w:rPr>
          <w:rFonts w:cstheme="minorHAnsi"/>
          <w:sz w:val="28"/>
          <w:szCs w:val="28"/>
        </w:rPr>
        <w:t>enablers and impacts</w:t>
      </w:r>
      <w:r w:rsidR="00E75014" w:rsidRPr="00607BFB">
        <w:rPr>
          <w:rFonts w:cstheme="minorHAnsi"/>
          <w:sz w:val="28"/>
          <w:szCs w:val="28"/>
        </w:rPr>
        <w:t>, so k</w:t>
      </w:r>
      <w:r w:rsidR="009E23A9" w:rsidRPr="00607BFB">
        <w:rPr>
          <w:rFonts w:cstheme="minorHAnsi"/>
          <w:sz w:val="28"/>
          <w:szCs w:val="28"/>
        </w:rPr>
        <w:t>ey recommendations to ICSs i</w:t>
      </w:r>
      <w:r w:rsidR="00413B8D" w:rsidRPr="00607BFB">
        <w:rPr>
          <w:rFonts w:cstheme="minorHAnsi"/>
          <w:sz w:val="28"/>
          <w:szCs w:val="28"/>
        </w:rPr>
        <w:t>dentified</w:t>
      </w:r>
      <w:r w:rsidR="009E23A9" w:rsidRPr="00607BFB">
        <w:rPr>
          <w:rFonts w:cstheme="minorHAnsi"/>
          <w:sz w:val="28"/>
          <w:szCs w:val="28"/>
        </w:rPr>
        <w:t xml:space="preserve"> the need to:</w:t>
      </w:r>
    </w:p>
    <w:p w14:paraId="770D45C7" w14:textId="39BEDC7E" w:rsidR="009E23A9" w:rsidRPr="00607BFB" w:rsidRDefault="009E23A9" w:rsidP="009E23A9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lastRenderedPageBreak/>
        <w:t xml:space="preserve">appoint systems leaders with the prerequisite skill set to ensure </w:t>
      </w:r>
      <w:r w:rsidRPr="00607BFB">
        <w:rPr>
          <w:rFonts w:eastAsia="Calibri" w:cstheme="minorHAnsi"/>
          <w:sz w:val="28"/>
          <w:szCs w:val="28"/>
        </w:rPr>
        <w:t>a joined-up approach across ICS and pathways</w:t>
      </w:r>
    </w:p>
    <w:p w14:paraId="3E9BADCC" w14:textId="07533004" w:rsidR="009E23A9" w:rsidRPr="00607BFB" w:rsidRDefault="009E23A9" w:rsidP="009E23A9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cstheme="minorHAnsi"/>
          <w:sz w:val="28"/>
          <w:szCs w:val="28"/>
        </w:rPr>
      </w:pPr>
      <w:r w:rsidRPr="00607BFB">
        <w:rPr>
          <w:rFonts w:eastAsia="Calibri" w:cstheme="minorHAnsi"/>
          <w:sz w:val="28"/>
          <w:szCs w:val="28"/>
        </w:rPr>
        <w:t xml:space="preserve">develop a multi-professional capabilities and career framework around the person’s journey </w:t>
      </w:r>
      <w:r w:rsidR="00E5794E" w:rsidRPr="00607BFB">
        <w:rPr>
          <w:rFonts w:eastAsia="Calibri" w:cstheme="minorHAnsi"/>
          <w:sz w:val="28"/>
          <w:szCs w:val="28"/>
        </w:rPr>
        <w:t>rather than around the profession</w:t>
      </w:r>
    </w:p>
    <w:p w14:paraId="212F1805" w14:textId="77777777" w:rsidR="009E23A9" w:rsidRPr="00607BFB" w:rsidRDefault="009E23A9" w:rsidP="009E23A9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cstheme="minorHAnsi"/>
          <w:sz w:val="28"/>
          <w:szCs w:val="28"/>
        </w:rPr>
      </w:pPr>
      <w:r w:rsidRPr="00607BFB">
        <w:rPr>
          <w:rFonts w:eastAsia="Calibri" w:cstheme="minorHAnsi"/>
          <w:sz w:val="28"/>
          <w:szCs w:val="28"/>
        </w:rPr>
        <w:t>create further opportunities for genuine engagement approaches with people and communities through co-production</w:t>
      </w:r>
    </w:p>
    <w:p w14:paraId="77BF3937" w14:textId="3464FC48" w:rsidR="009E23A9" w:rsidRPr="00607BFB" w:rsidRDefault="009E23A9" w:rsidP="009E23A9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cstheme="minorHAnsi"/>
          <w:sz w:val="28"/>
          <w:szCs w:val="28"/>
        </w:rPr>
      </w:pPr>
      <w:r w:rsidRPr="00607BFB">
        <w:rPr>
          <w:rFonts w:eastAsia="Calibri" w:cstheme="minorHAnsi"/>
          <w:sz w:val="28"/>
          <w:szCs w:val="28"/>
        </w:rPr>
        <w:t>enable the co-evaluation of person centred, safe and effective resources and services through creating a learning culture across the system at every level inclusive of all</w:t>
      </w:r>
    </w:p>
    <w:p w14:paraId="74C44A56" w14:textId="6DF67BE7" w:rsidR="00FD3235" w:rsidRPr="00607BFB" w:rsidRDefault="002E3F45" w:rsidP="00E5794E">
      <w:p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Other s</w:t>
      </w:r>
      <w:r w:rsidR="00E5794E" w:rsidRPr="00607BFB">
        <w:rPr>
          <w:rFonts w:cstheme="minorHAnsi"/>
          <w:sz w:val="28"/>
          <w:szCs w:val="28"/>
        </w:rPr>
        <w:t>ystem wide enablers</w:t>
      </w:r>
      <w:r w:rsidR="00B25656" w:rsidRPr="00607BFB">
        <w:rPr>
          <w:rFonts w:cstheme="minorHAnsi"/>
          <w:sz w:val="28"/>
          <w:szCs w:val="28"/>
        </w:rPr>
        <w:t xml:space="preserve"> endorsed</w:t>
      </w:r>
      <w:r w:rsidR="00E75014" w:rsidRPr="00607BFB">
        <w:rPr>
          <w:rFonts w:cstheme="minorHAnsi"/>
          <w:sz w:val="28"/>
          <w:szCs w:val="28"/>
        </w:rPr>
        <w:t>:</w:t>
      </w:r>
      <w:r w:rsidR="00E5794E" w:rsidRPr="00607BFB">
        <w:rPr>
          <w:rFonts w:cstheme="minorHAnsi"/>
          <w:sz w:val="28"/>
          <w:szCs w:val="28"/>
        </w:rPr>
        <w:t xml:space="preserve"> </w:t>
      </w:r>
      <w:r w:rsidR="00074281" w:rsidRPr="00607BFB">
        <w:rPr>
          <w:rFonts w:cstheme="minorHAnsi"/>
          <w:sz w:val="28"/>
          <w:szCs w:val="28"/>
        </w:rPr>
        <w:t xml:space="preserve">the need </w:t>
      </w:r>
      <w:r w:rsidR="00E75014" w:rsidRPr="00607BFB">
        <w:rPr>
          <w:rFonts w:cstheme="minorHAnsi"/>
          <w:sz w:val="28"/>
          <w:szCs w:val="28"/>
        </w:rPr>
        <w:t>for</w:t>
      </w:r>
      <w:r w:rsidR="00E5794E" w:rsidRPr="00607BFB">
        <w:rPr>
          <w:rFonts w:cstheme="minorHAnsi"/>
          <w:sz w:val="28"/>
          <w:szCs w:val="28"/>
        </w:rPr>
        <w:t xml:space="preserve"> people </w:t>
      </w:r>
      <w:r w:rsidR="00E75014" w:rsidRPr="00607BFB">
        <w:rPr>
          <w:rFonts w:cstheme="minorHAnsi"/>
          <w:sz w:val="28"/>
          <w:szCs w:val="28"/>
        </w:rPr>
        <w:t xml:space="preserve">to be </w:t>
      </w:r>
      <w:r w:rsidR="00E5794E" w:rsidRPr="00607BFB">
        <w:rPr>
          <w:rFonts w:cstheme="minorHAnsi"/>
          <w:sz w:val="28"/>
          <w:szCs w:val="28"/>
        </w:rPr>
        <w:t>at the heart of the system</w:t>
      </w:r>
      <w:r w:rsidR="00B25656" w:rsidRPr="00607BFB">
        <w:rPr>
          <w:rFonts w:cstheme="minorHAnsi"/>
          <w:sz w:val="28"/>
          <w:szCs w:val="28"/>
        </w:rPr>
        <w:t>;</w:t>
      </w:r>
      <w:r w:rsidR="00E5794E" w:rsidRPr="00607BFB">
        <w:rPr>
          <w:rFonts w:cstheme="minorHAnsi"/>
          <w:sz w:val="28"/>
          <w:szCs w:val="28"/>
        </w:rPr>
        <w:t xml:space="preserve"> growing the workforce to meet these needs based on an integrated approach to learning and evaluation</w:t>
      </w:r>
      <w:r w:rsidR="00E75014" w:rsidRPr="00607BFB">
        <w:rPr>
          <w:rFonts w:cstheme="minorHAnsi"/>
          <w:sz w:val="28"/>
          <w:szCs w:val="28"/>
        </w:rPr>
        <w:t>; and</w:t>
      </w:r>
      <w:r w:rsidR="00E5794E" w:rsidRPr="00607BFB">
        <w:rPr>
          <w:rFonts w:cstheme="minorHAnsi"/>
          <w:sz w:val="28"/>
          <w:szCs w:val="28"/>
        </w:rPr>
        <w:t xml:space="preserve"> involving all </w:t>
      </w:r>
      <w:r w:rsidR="00E75014" w:rsidRPr="00607BFB">
        <w:rPr>
          <w:rFonts w:cstheme="minorHAnsi"/>
          <w:sz w:val="28"/>
          <w:szCs w:val="28"/>
        </w:rPr>
        <w:t>in</w:t>
      </w:r>
      <w:r w:rsidR="00E5794E" w:rsidRPr="00607BFB">
        <w:rPr>
          <w:rFonts w:cstheme="minorHAnsi"/>
          <w:sz w:val="28"/>
          <w:szCs w:val="28"/>
        </w:rPr>
        <w:t xml:space="preserve"> ongoing improvement and innovation.  </w:t>
      </w:r>
    </w:p>
    <w:p w14:paraId="1E0CC6F2" w14:textId="1F27FF07" w:rsidR="00074281" w:rsidRPr="00607BFB" w:rsidRDefault="00E5794E" w:rsidP="00E5794E">
      <w:p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Workforce activities cannot afford to be duplicated because of a lack of </w:t>
      </w:r>
      <w:r w:rsidR="00074281" w:rsidRPr="00607BFB">
        <w:rPr>
          <w:rFonts w:cstheme="minorHAnsi"/>
          <w:sz w:val="28"/>
          <w:szCs w:val="28"/>
        </w:rPr>
        <w:t>‘</w:t>
      </w:r>
      <w:r w:rsidRPr="00607BFB">
        <w:rPr>
          <w:rFonts w:cstheme="minorHAnsi"/>
          <w:sz w:val="28"/>
          <w:szCs w:val="28"/>
        </w:rPr>
        <w:t>joined</w:t>
      </w:r>
      <w:r w:rsidR="00074281" w:rsidRPr="00607BFB">
        <w:rPr>
          <w:rFonts w:cstheme="minorHAnsi"/>
          <w:sz w:val="28"/>
          <w:szCs w:val="28"/>
        </w:rPr>
        <w:t>-</w:t>
      </w:r>
      <w:r w:rsidRPr="00607BFB">
        <w:rPr>
          <w:rFonts w:cstheme="minorHAnsi"/>
          <w:sz w:val="28"/>
          <w:szCs w:val="28"/>
        </w:rPr>
        <w:t>up</w:t>
      </w:r>
      <w:r w:rsidR="00074281" w:rsidRPr="00607BFB">
        <w:rPr>
          <w:rFonts w:cstheme="minorHAnsi"/>
          <w:sz w:val="28"/>
          <w:szCs w:val="28"/>
        </w:rPr>
        <w:t>’</w:t>
      </w:r>
      <w:r w:rsidRPr="00607BFB">
        <w:rPr>
          <w:rFonts w:cstheme="minorHAnsi"/>
          <w:sz w:val="28"/>
          <w:szCs w:val="28"/>
        </w:rPr>
        <w:t xml:space="preserve"> thinking</w:t>
      </w:r>
      <w:r w:rsidR="00995A45" w:rsidRPr="00607BFB">
        <w:rPr>
          <w:rFonts w:cstheme="minorHAnsi"/>
          <w:sz w:val="28"/>
          <w:szCs w:val="28"/>
        </w:rPr>
        <w:t xml:space="preserve"> especially when there is a dearth in the workforce</w:t>
      </w:r>
      <w:r w:rsidRPr="00607BFB">
        <w:rPr>
          <w:rFonts w:cstheme="minorHAnsi"/>
          <w:sz w:val="28"/>
          <w:szCs w:val="28"/>
        </w:rPr>
        <w:t xml:space="preserve"> and so the need for capability frameworks wrapped around the person’s journey rather than the profession is based on the assumptions</w:t>
      </w:r>
      <w:r w:rsidR="00995A45" w:rsidRPr="00607BFB">
        <w:rPr>
          <w:rFonts w:cstheme="minorHAnsi"/>
          <w:sz w:val="28"/>
          <w:szCs w:val="28"/>
        </w:rPr>
        <w:t>:</w:t>
      </w:r>
      <w:r w:rsidRPr="00607BFB">
        <w:rPr>
          <w:rFonts w:cstheme="minorHAnsi"/>
          <w:sz w:val="28"/>
          <w:szCs w:val="28"/>
        </w:rPr>
        <w:t xml:space="preserve"> that professions can complement each other but have areas of overlap;</w:t>
      </w:r>
      <w:r w:rsidR="00074281" w:rsidRPr="00607BFB">
        <w:rPr>
          <w:rFonts w:cstheme="minorHAnsi"/>
          <w:sz w:val="28"/>
          <w:szCs w:val="28"/>
        </w:rPr>
        <w:t xml:space="preserve"> it is easier to identify where there are gaps in capabilities that can be addressed</w:t>
      </w:r>
      <w:r w:rsidR="00DF41DE" w:rsidRPr="00607BFB">
        <w:rPr>
          <w:rFonts w:cstheme="minorHAnsi"/>
          <w:sz w:val="28"/>
          <w:szCs w:val="28"/>
        </w:rPr>
        <w:t xml:space="preserve"> rather than the number of professions required</w:t>
      </w:r>
      <w:r w:rsidR="00074281" w:rsidRPr="00607BFB">
        <w:rPr>
          <w:rFonts w:cstheme="minorHAnsi"/>
          <w:sz w:val="28"/>
          <w:szCs w:val="28"/>
        </w:rPr>
        <w:t>; and</w:t>
      </w:r>
      <w:r w:rsidR="00995A45" w:rsidRPr="00607BFB">
        <w:rPr>
          <w:rFonts w:cstheme="minorHAnsi"/>
          <w:sz w:val="28"/>
          <w:szCs w:val="28"/>
        </w:rPr>
        <w:t>,</w:t>
      </w:r>
      <w:r w:rsidR="00074281" w:rsidRPr="00607BFB">
        <w:rPr>
          <w:rFonts w:cstheme="minorHAnsi"/>
          <w:sz w:val="28"/>
          <w:szCs w:val="28"/>
        </w:rPr>
        <w:t xml:space="preserve"> </w:t>
      </w:r>
      <w:r w:rsidRPr="00607BFB">
        <w:rPr>
          <w:rFonts w:cstheme="minorHAnsi"/>
          <w:sz w:val="28"/>
          <w:szCs w:val="28"/>
        </w:rPr>
        <w:t xml:space="preserve"> population profiles</w:t>
      </w:r>
      <w:r w:rsidR="00007358" w:rsidRPr="00607BFB">
        <w:rPr>
          <w:rFonts w:cstheme="minorHAnsi"/>
          <w:sz w:val="28"/>
          <w:szCs w:val="28"/>
        </w:rPr>
        <w:t xml:space="preserve"> guide</w:t>
      </w:r>
      <w:r w:rsidRPr="00607BFB">
        <w:rPr>
          <w:rFonts w:cstheme="minorHAnsi"/>
          <w:sz w:val="28"/>
          <w:szCs w:val="28"/>
        </w:rPr>
        <w:t xml:space="preserve"> public health </w:t>
      </w:r>
      <w:r w:rsidR="00007358" w:rsidRPr="00607BFB">
        <w:rPr>
          <w:rFonts w:cstheme="minorHAnsi"/>
          <w:sz w:val="28"/>
          <w:szCs w:val="28"/>
        </w:rPr>
        <w:t>and services with</w:t>
      </w:r>
      <w:r w:rsidRPr="00607BFB">
        <w:rPr>
          <w:rFonts w:cstheme="minorHAnsi"/>
          <w:sz w:val="28"/>
          <w:szCs w:val="28"/>
        </w:rPr>
        <w:t xml:space="preserve"> a focus on</w:t>
      </w:r>
      <w:r w:rsidR="00995A45" w:rsidRPr="00607BFB">
        <w:rPr>
          <w:rFonts w:cstheme="minorHAnsi"/>
          <w:sz w:val="28"/>
          <w:szCs w:val="28"/>
        </w:rPr>
        <w:t xml:space="preserve"> care</w:t>
      </w:r>
      <w:r w:rsidRPr="00607BFB">
        <w:rPr>
          <w:rFonts w:cstheme="minorHAnsi"/>
          <w:sz w:val="28"/>
          <w:szCs w:val="28"/>
        </w:rPr>
        <w:t xml:space="preserve"> as close to people homes as possible</w:t>
      </w:r>
      <w:r w:rsidR="00074281" w:rsidRPr="00607BFB">
        <w:rPr>
          <w:rFonts w:cstheme="minorHAnsi"/>
          <w:sz w:val="28"/>
          <w:szCs w:val="28"/>
        </w:rPr>
        <w:t xml:space="preserve"> </w:t>
      </w:r>
      <w:r w:rsidR="00995A45" w:rsidRPr="00607BFB">
        <w:rPr>
          <w:rFonts w:cstheme="minorHAnsi"/>
          <w:sz w:val="28"/>
          <w:szCs w:val="28"/>
        </w:rPr>
        <w:t>to</w:t>
      </w:r>
      <w:r w:rsidR="00074281" w:rsidRPr="00607BFB">
        <w:rPr>
          <w:rFonts w:cstheme="minorHAnsi"/>
          <w:sz w:val="28"/>
          <w:szCs w:val="28"/>
        </w:rPr>
        <w:t xml:space="preserve"> improve outcomes and reduce demand on expensive acute services.</w:t>
      </w:r>
    </w:p>
    <w:p w14:paraId="74812C2A" w14:textId="77777777" w:rsidR="00C960F4" w:rsidRPr="00607BFB" w:rsidRDefault="00C960F4" w:rsidP="00074281">
      <w:pPr>
        <w:rPr>
          <w:rFonts w:cstheme="minorHAnsi"/>
          <w:sz w:val="28"/>
          <w:szCs w:val="28"/>
        </w:rPr>
      </w:pPr>
    </w:p>
    <w:p w14:paraId="762DAE03" w14:textId="6344FB65" w:rsidR="00C960F4" w:rsidRPr="00607BFB" w:rsidRDefault="00E75014" w:rsidP="00074281">
      <w:pPr>
        <w:rPr>
          <w:rFonts w:cstheme="minorHAnsi"/>
          <w:b/>
          <w:bCs/>
          <w:sz w:val="28"/>
          <w:szCs w:val="28"/>
        </w:rPr>
      </w:pPr>
      <w:r w:rsidRPr="00607BFB">
        <w:rPr>
          <w:rFonts w:cstheme="minorHAnsi"/>
          <w:b/>
          <w:bCs/>
          <w:sz w:val="28"/>
          <w:szCs w:val="28"/>
        </w:rPr>
        <w:t xml:space="preserve">People requiring support with </w:t>
      </w:r>
      <w:r w:rsidR="00C960F4" w:rsidRPr="00607BFB">
        <w:rPr>
          <w:rFonts w:cstheme="minorHAnsi"/>
          <w:b/>
          <w:bCs/>
          <w:sz w:val="28"/>
          <w:szCs w:val="28"/>
        </w:rPr>
        <w:t>Eye care</w:t>
      </w:r>
      <w:r w:rsidRPr="00607BFB">
        <w:rPr>
          <w:rFonts w:cstheme="minorHAnsi"/>
          <w:b/>
          <w:bCs/>
          <w:sz w:val="28"/>
          <w:szCs w:val="28"/>
        </w:rPr>
        <w:t xml:space="preserve"> needs</w:t>
      </w:r>
      <w:r w:rsidR="007114CD" w:rsidRPr="00607BFB">
        <w:rPr>
          <w:rFonts w:cstheme="minorHAnsi"/>
          <w:b/>
          <w:bCs/>
          <w:sz w:val="28"/>
          <w:szCs w:val="28"/>
          <w:vertAlign w:val="superscript"/>
        </w:rPr>
        <w:t>9</w:t>
      </w:r>
    </w:p>
    <w:p w14:paraId="7A56CBFF" w14:textId="686D4381" w:rsidR="0011692C" w:rsidRPr="00607BFB" w:rsidRDefault="00FD3235" w:rsidP="00074281">
      <w:p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A</w:t>
      </w:r>
      <w:r w:rsidR="00E5794E" w:rsidRPr="00607BFB">
        <w:rPr>
          <w:rFonts w:cstheme="minorHAnsi"/>
          <w:sz w:val="28"/>
          <w:szCs w:val="28"/>
        </w:rPr>
        <w:t xml:space="preserve"> region</w:t>
      </w:r>
      <w:r w:rsidRPr="00607BFB">
        <w:rPr>
          <w:rFonts w:cstheme="minorHAnsi"/>
          <w:sz w:val="28"/>
          <w:szCs w:val="28"/>
        </w:rPr>
        <w:t>-</w:t>
      </w:r>
      <w:r w:rsidR="00E5794E" w:rsidRPr="00607BFB">
        <w:rPr>
          <w:rFonts w:cstheme="minorHAnsi"/>
          <w:sz w:val="28"/>
          <w:szCs w:val="28"/>
        </w:rPr>
        <w:t xml:space="preserve">wide project </w:t>
      </w:r>
      <w:r w:rsidR="00074281" w:rsidRPr="00607BFB">
        <w:rPr>
          <w:rFonts w:cstheme="minorHAnsi"/>
          <w:sz w:val="28"/>
          <w:szCs w:val="28"/>
        </w:rPr>
        <w:t xml:space="preserve">in East of England </w:t>
      </w:r>
      <w:r w:rsidRPr="00607BFB">
        <w:rPr>
          <w:rFonts w:cstheme="minorHAnsi"/>
          <w:sz w:val="28"/>
          <w:szCs w:val="28"/>
        </w:rPr>
        <w:t xml:space="preserve">aimed </w:t>
      </w:r>
      <w:r w:rsidR="00074281" w:rsidRPr="00607BFB">
        <w:rPr>
          <w:rFonts w:cstheme="minorHAnsi"/>
          <w:sz w:val="28"/>
          <w:szCs w:val="28"/>
        </w:rPr>
        <w:t>to address the population’s eyecare needs</w:t>
      </w:r>
      <w:r w:rsidR="00DF41DE" w:rsidRPr="00607BFB">
        <w:rPr>
          <w:rFonts w:cstheme="minorHAnsi"/>
          <w:sz w:val="28"/>
          <w:szCs w:val="28"/>
        </w:rPr>
        <w:t xml:space="preserve">. As </w:t>
      </w:r>
      <w:r w:rsidR="0011692C" w:rsidRPr="00607BFB">
        <w:rPr>
          <w:rFonts w:cstheme="minorHAnsi"/>
          <w:sz w:val="28"/>
          <w:szCs w:val="28"/>
        </w:rPr>
        <w:t>this is a high area of demand on health and care services in relation to an aging population</w:t>
      </w:r>
      <w:r w:rsidR="00074281" w:rsidRPr="00607BFB">
        <w:rPr>
          <w:rFonts w:cstheme="minorHAnsi"/>
          <w:sz w:val="28"/>
          <w:szCs w:val="28"/>
        </w:rPr>
        <w:t xml:space="preserve">. Supported by Health Education England and </w:t>
      </w:r>
      <w:r w:rsidR="00E5794E" w:rsidRPr="00607BFB">
        <w:rPr>
          <w:rFonts w:cstheme="minorHAnsi"/>
          <w:sz w:val="28"/>
          <w:szCs w:val="28"/>
        </w:rPr>
        <w:t xml:space="preserve">facilitated by the Impact Research </w:t>
      </w:r>
      <w:r w:rsidR="00007358" w:rsidRPr="00607BFB">
        <w:rPr>
          <w:rFonts w:cstheme="minorHAnsi"/>
          <w:sz w:val="28"/>
          <w:szCs w:val="28"/>
        </w:rPr>
        <w:t>G</w:t>
      </w:r>
      <w:r w:rsidR="00E5794E" w:rsidRPr="00607BFB">
        <w:rPr>
          <w:rFonts w:cstheme="minorHAnsi"/>
          <w:sz w:val="28"/>
          <w:szCs w:val="28"/>
        </w:rPr>
        <w:t>roup at UEA</w:t>
      </w:r>
      <w:r w:rsidR="001A6184" w:rsidRPr="00607BFB">
        <w:rPr>
          <w:rFonts w:cstheme="minorHAnsi"/>
          <w:sz w:val="28"/>
          <w:szCs w:val="28"/>
        </w:rPr>
        <w:t>,</w:t>
      </w:r>
      <w:r w:rsidR="0011692C" w:rsidRPr="00607BFB">
        <w:rPr>
          <w:rFonts w:cstheme="minorHAnsi"/>
          <w:sz w:val="28"/>
          <w:szCs w:val="28"/>
        </w:rPr>
        <w:t xml:space="preserve"> the project</w:t>
      </w:r>
      <w:r w:rsidRPr="00607BFB">
        <w:rPr>
          <w:rFonts w:cstheme="minorHAnsi"/>
          <w:sz w:val="28"/>
          <w:szCs w:val="28"/>
        </w:rPr>
        <w:t xml:space="preserve"> aimed to address the integration of eyecare workforce development within wider initiatives (across population groups/specialties) and strengthen workforce capability and capacity to deliver eyecare on a whole-system basis across </w:t>
      </w:r>
      <w:r w:rsidR="00DF41DE" w:rsidRPr="00607BFB">
        <w:rPr>
          <w:rFonts w:cstheme="minorHAnsi"/>
          <w:sz w:val="28"/>
          <w:szCs w:val="28"/>
        </w:rPr>
        <w:t>the region</w:t>
      </w:r>
      <w:r w:rsidR="0011692C" w:rsidRPr="00607BFB">
        <w:rPr>
          <w:rFonts w:cstheme="minorHAnsi"/>
          <w:sz w:val="28"/>
          <w:szCs w:val="28"/>
        </w:rPr>
        <w:t>. The first phase used co</w:t>
      </w:r>
      <w:r w:rsidR="00DF41DE" w:rsidRPr="00607BFB">
        <w:rPr>
          <w:rFonts w:cstheme="minorHAnsi"/>
          <w:sz w:val="28"/>
          <w:szCs w:val="28"/>
        </w:rPr>
        <w:t>-</w:t>
      </w:r>
      <w:r w:rsidR="0011692C" w:rsidRPr="00607BFB">
        <w:rPr>
          <w:rFonts w:cstheme="minorHAnsi"/>
          <w:sz w:val="28"/>
          <w:szCs w:val="28"/>
        </w:rPr>
        <w:t>production approaches with all stakeholders across</w:t>
      </w:r>
      <w:r w:rsidRPr="00607BFB">
        <w:rPr>
          <w:rFonts w:cstheme="minorHAnsi"/>
          <w:sz w:val="28"/>
          <w:szCs w:val="28"/>
        </w:rPr>
        <w:t xml:space="preserve"> three workshops to </w:t>
      </w:r>
      <w:r w:rsidR="00E75014" w:rsidRPr="00607BFB">
        <w:rPr>
          <w:rFonts w:cstheme="minorHAnsi"/>
          <w:sz w:val="28"/>
          <w:szCs w:val="28"/>
        </w:rPr>
        <w:t xml:space="preserve">achieve </w:t>
      </w:r>
      <w:r w:rsidRPr="00607BFB">
        <w:rPr>
          <w:rFonts w:cstheme="minorHAnsi"/>
          <w:sz w:val="28"/>
          <w:szCs w:val="28"/>
        </w:rPr>
        <w:t>key outputs</w:t>
      </w:r>
      <w:r w:rsidR="0070783C" w:rsidRPr="00607BFB">
        <w:rPr>
          <w:rFonts w:cstheme="minorHAnsi"/>
          <w:sz w:val="28"/>
          <w:szCs w:val="28"/>
        </w:rPr>
        <w:t>, namely</w:t>
      </w:r>
      <w:r w:rsidR="0011692C" w:rsidRPr="00607BFB">
        <w:rPr>
          <w:rFonts w:cstheme="minorHAnsi"/>
          <w:sz w:val="28"/>
          <w:szCs w:val="28"/>
        </w:rPr>
        <w:t>:</w:t>
      </w:r>
    </w:p>
    <w:p w14:paraId="68E74091" w14:textId="79164753" w:rsidR="0011692C" w:rsidRPr="00607BFB" w:rsidRDefault="0011692C" w:rsidP="0011692C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a shared purpose for eye care services across Eastern region </w:t>
      </w:r>
      <w:r w:rsidR="00E75014" w:rsidRPr="00607BFB">
        <w:rPr>
          <w:rFonts w:cstheme="minorHAnsi"/>
          <w:sz w:val="28"/>
          <w:szCs w:val="28"/>
        </w:rPr>
        <w:t>and</w:t>
      </w:r>
      <w:r w:rsidRPr="00607BFB">
        <w:rPr>
          <w:rFonts w:cstheme="minorHAnsi"/>
          <w:sz w:val="28"/>
          <w:szCs w:val="28"/>
        </w:rPr>
        <w:t xml:space="preserve"> three</w:t>
      </w:r>
      <w:r w:rsidR="00E75014" w:rsidRPr="00607BFB">
        <w:rPr>
          <w:rFonts w:cstheme="minorHAnsi"/>
          <w:sz w:val="28"/>
          <w:szCs w:val="28"/>
        </w:rPr>
        <w:t xml:space="preserve"> identified</w:t>
      </w:r>
      <w:r w:rsidRPr="00607BFB">
        <w:rPr>
          <w:rFonts w:cstheme="minorHAnsi"/>
          <w:sz w:val="28"/>
          <w:szCs w:val="28"/>
        </w:rPr>
        <w:t xml:space="preserve"> priorities to achieve the purpose, </w:t>
      </w:r>
    </w:p>
    <w:p w14:paraId="2BA396A6" w14:textId="77777777" w:rsidR="0011692C" w:rsidRPr="00607BFB" w:rsidRDefault="0011692C" w:rsidP="0011692C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lastRenderedPageBreak/>
        <w:t xml:space="preserve">a development framework to guide implementation and evaluation of the shared purpose, </w:t>
      </w:r>
    </w:p>
    <w:p w14:paraId="02920C23" w14:textId="4A133605" w:rsidR="0011692C" w:rsidRPr="00607BFB" w:rsidRDefault="0011692C" w:rsidP="0011692C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key relationships and approaches for providing person centred eye care across Integrated Care Systems (ICSs); </w:t>
      </w:r>
    </w:p>
    <w:p w14:paraId="55F7F186" w14:textId="66BB2A92" w:rsidR="0011692C" w:rsidRPr="00607BFB" w:rsidRDefault="0011692C" w:rsidP="0011692C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the relationship between the citizens with actual or potential eyecare needs, their journey</w:t>
      </w:r>
      <w:r w:rsidR="0070783C" w:rsidRPr="00607BFB">
        <w:rPr>
          <w:rFonts w:cstheme="minorHAnsi"/>
          <w:sz w:val="28"/>
          <w:szCs w:val="28"/>
        </w:rPr>
        <w:t xml:space="preserve">, </w:t>
      </w:r>
      <w:r w:rsidRPr="00607BFB">
        <w:rPr>
          <w:rFonts w:cstheme="minorHAnsi"/>
          <w:sz w:val="28"/>
          <w:szCs w:val="28"/>
        </w:rPr>
        <w:t>the providers and the workforce capabilities required</w:t>
      </w:r>
      <w:r w:rsidR="00E75014" w:rsidRPr="00607BFB">
        <w:rPr>
          <w:rFonts w:cstheme="minorHAnsi"/>
          <w:sz w:val="28"/>
          <w:szCs w:val="28"/>
        </w:rPr>
        <w:t>;</w:t>
      </w:r>
      <w:r w:rsidRPr="00607BFB">
        <w:rPr>
          <w:rFonts w:cstheme="minorHAnsi"/>
          <w:sz w:val="28"/>
          <w:szCs w:val="28"/>
        </w:rPr>
        <w:t xml:space="preserve"> </w:t>
      </w:r>
    </w:p>
    <w:p w14:paraId="36887D88" w14:textId="4A7200D6" w:rsidR="0011692C" w:rsidRPr="00607BFB" w:rsidRDefault="0011692C" w:rsidP="0011692C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a detailed single multi-professional capability framework wrapped around the needs of citizens</w:t>
      </w:r>
      <w:r w:rsidR="0070783C" w:rsidRPr="00607BFB">
        <w:rPr>
          <w:rFonts w:cstheme="minorHAnsi"/>
          <w:sz w:val="28"/>
          <w:szCs w:val="28"/>
        </w:rPr>
        <w:t xml:space="preserve"> rather than the profession, with the aim of growing and using the capabilities near to citizens’ homes as a driver for transformation</w:t>
      </w:r>
      <w:r w:rsidRPr="00607BFB">
        <w:rPr>
          <w:rFonts w:cstheme="minorHAnsi"/>
          <w:sz w:val="28"/>
          <w:szCs w:val="28"/>
        </w:rPr>
        <w:t xml:space="preserve">; </w:t>
      </w:r>
    </w:p>
    <w:p w14:paraId="69E3785E" w14:textId="60EDDD77" w:rsidR="0011692C" w:rsidRPr="00607BFB" w:rsidRDefault="0011692C" w:rsidP="0011692C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the capabilities required for priority development; </w:t>
      </w:r>
    </w:p>
    <w:p w14:paraId="16B48A63" w14:textId="355D00C6" w:rsidR="00FD3235" w:rsidRPr="00607BFB" w:rsidRDefault="0070783C" w:rsidP="0011692C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the </w:t>
      </w:r>
      <w:r w:rsidR="0011692C" w:rsidRPr="00607BFB">
        <w:rPr>
          <w:rFonts w:cstheme="minorHAnsi"/>
          <w:sz w:val="28"/>
          <w:szCs w:val="28"/>
        </w:rPr>
        <w:t>priorities for both upskilling and working differently</w:t>
      </w:r>
      <w:r w:rsidR="00E75014" w:rsidRPr="00607BFB">
        <w:rPr>
          <w:rFonts w:cstheme="minorHAnsi"/>
          <w:sz w:val="28"/>
          <w:szCs w:val="28"/>
        </w:rPr>
        <w:t>;</w:t>
      </w:r>
      <w:r w:rsidR="0011692C" w:rsidRPr="00607BFB">
        <w:rPr>
          <w:rFonts w:cstheme="minorHAnsi"/>
          <w:sz w:val="28"/>
          <w:szCs w:val="28"/>
        </w:rPr>
        <w:t xml:space="preserve"> </w:t>
      </w:r>
    </w:p>
    <w:p w14:paraId="7686A518" w14:textId="4432124E" w:rsidR="0011692C" w:rsidRPr="00607BFB" w:rsidRDefault="0070783C" w:rsidP="0011692C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r</w:t>
      </w:r>
      <w:r w:rsidR="0011692C" w:rsidRPr="00607BFB">
        <w:rPr>
          <w:rFonts w:cstheme="minorHAnsi"/>
          <w:sz w:val="28"/>
          <w:szCs w:val="28"/>
        </w:rPr>
        <w:t>ecommendations for key stakeholders including Health Education England, Universities and ICS</w:t>
      </w:r>
      <w:r w:rsidR="00DF41DE" w:rsidRPr="00607BFB">
        <w:rPr>
          <w:rFonts w:cstheme="minorHAnsi"/>
          <w:sz w:val="28"/>
          <w:szCs w:val="28"/>
        </w:rPr>
        <w:t>’</w:t>
      </w:r>
      <w:r w:rsidR="0011692C" w:rsidRPr="00607BFB">
        <w:rPr>
          <w:rFonts w:cstheme="minorHAnsi"/>
          <w:sz w:val="28"/>
          <w:szCs w:val="28"/>
        </w:rPr>
        <w:t>s.</w:t>
      </w:r>
    </w:p>
    <w:p w14:paraId="794F3342" w14:textId="228B88DE" w:rsidR="00FD3235" w:rsidRPr="00607BFB" w:rsidRDefault="0070783C" w:rsidP="00074281">
      <w:p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Two</w:t>
      </w:r>
      <w:r w:rsidR="00DF41DE" w:rsidRPr="00607BFB">
        <w:rPr>
          <w:rFonts w:cstheme="minorHAnsi"/>
          <w:sz w:val="28"/>
          <w:szCs w:val="28"/>
        </w:rPr>
        <w:t xml:space="preserve"> of the</w:t>
      </w:r>
      <w:r w:rsidRPr="00607BFB">
        <w:rPr>
          <w:rFonts w:cstheme="minorHAnsi"/>
          <w:sz w:val="28"/>
          <w:szCs w:val="28"/>
        </w:rPr>
        <w:t xml:space="preserve"> immediate re</w:t>
      </w:r>
      <w:r w:rsidR="00FD3235" w:rsidRPr="00607BFB">
        <w:rPr>
          <w:rFonts w:cstheme="minorHAnsi"/>
          <w:sz w:val="28"/>
          <w:szCs w:val="28"/>
        </w:rPr>
        <w:t xml:space="preserve">commendations </w:t>
      </w:r>
      <w:r w:rsidRPr="00607BFB">
        <w:rPr>
          <w:rFonts w:cstheme="minorHAnsi"/>
          <w:sz w:val="28"/>
          <w:szCs w:val="28"/>
        </w:rPr>
        <w:t xml:space="preserve">for ICSs to enable this transformation </w:t>
      </w:r>
      <w:r w:rsidR="00E75014" w:rsidRPr="00607BFB">
        <w:rPr>
          <w:rFonts w:cstheme="minorHAnsi"/>
          <w:sz w:val="28"/>
          <w:szCs w:val="28"/>
        </w:rPr>
        <w:t xml:space="preserve">again </w:t>
      </w:r>
      <w:r w:rsidRPr="00607BFB">
        <w:rPr>
          <w:rFonts w:cstheme="minorHAnsi"/>
          <w:sz w:val="28"/>
          <w:szCs w:val="28"/>
        </w:rPr>
        <w:t>emphasise</w:t>
      </w:r>
      <w:r w:rsidR="00DF41DE" w:rsidRPr="00607BFB">
        <w:rPr>
          <w:rFonts w:cstheme="minorHAnsi"/>
          <w:sz w:val="28"/>
          <w:szCs w:val="28"/>
        </w:rPr>
        <w:t>d</w:t>
      </w:r>
      <w:r w:rsidRPr="00607BFB">
        <w:rPr>
          <w:rFonts w:cstheme="minorHAnsi"/>
          <w:sz w:val="28"/>
          <w:szCs w:val="28"/>
        </w:rPr>
        <w:t xml:space="preserve"> systems leadership as a catalyst for change: </w:t>
      </w:r>
    </w:p>
    <w:p w14:paraId="4FD05682" w14:textId="77777777" w:rsidR="0011692C" w:rsidRPr="00607BFB" w:rsidRDefault="0011692C" w:rsidP="00074281">
      <w:p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1. Recruit or sponsor from inside/outside the region OR grow aspiring clinical systems leaders in collaboration with HEE (</w:t>
      </w:r>
      <w:proofErr w:type="spellStart"/>
      <w:r w:rsidRPr="00607BFB">
        <w:rPr>
          <w:rFonts w:cstheme="minorHAnsi"/>
          <w:sz w:val="28"/>
          <w:szCs w:val="28"/>
        </w:rPr>
        <w:t>EoE</w:t>
      </w:r>
      <w:proofErr w:type="spellEnd"/>
      <w:r w:rsidRPr="00607BFB">
        <w:rPr>
          <w:rFonts w:cstheme="minorHAnsi"/>
          <w:sz w:val="28"/>
          <w:szCs w:val="28"/>
        </w:rPr>
        <w:t xml:space="preserve">) through appointment of a multi-professional consultant practitioner or aspiring consultant. The practitioner should have the capabilities required for systems leadership, embedded research skills and the proven ability to facilitate workforce transformation or be on a development programme to achieve them. </w:t>
      </w:r>
    </w:p>
    <w:p w14:paraId="49180FD0" w14:textId="77777777" w:rsidR="0070783C" w:rsidRPr="00607BFB" w:rsidRDefault="0011692C" w:rsidP="00074281">
      <w:p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2. Support systems leaders to work with all partners and other ICSs to: </w:t>
      </w:r>
    </w:p>
    <w:p w14:paraId="2EB19C6D" w14:textId="77777777" w:rsidR="00E75014" w:rsidRPr="00607BFB" w:rsidRDefault="0011692C" w:rsidP="00E75014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Identify gaps to include: </w:t>
      </w:r>
    </w:p>
    <w:p w14:paraId="751E9CDA" w14:textId="38CD3C65" w:rsidR="00E75014" w:rsidRPr="00607BFB" w:rsidRDefault="0011692C" w:rsidP="00E75014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gaps in capabilities required to meet community needs; </w:t>
      </w:r>
    </w:p>
    <w:p w14:paraId="67449442" w14:textId="77777777" w:rsidR="00E75014" w:rsidRPr="00607BFB" w:rsidRDefault="0011692C" w:rsidP="00E75014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capability development in the community and general practice; </w:t>
      </w:r>
    </w:p>
    <w:p w14:paraId="2458EDAD" w14:textId="77777777" w:rsidR="00E75014" w:rsidRPr="00607BFB" w:rsidRDefault="0011692C" w:rsidP="00E75014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first contact, Triage as close to home as possible, based on continuity of care, knowledge of person, and person as expert in own condition; </w:t>
      </w:r>
    </w:p>
    <w:p w14:paraId="595C09C6" w14:textId="3B6ECA70" w:rsidR="0070783C" w:rsidRPr="00607BFB" w:rsidRDefault="0011692C" w:rsidP="00E75014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Signposting, screening, gatekeeper and future role of Telemedicine. </w:t>
      </w:r>
    </w:p>
    <w:p w14:paraId="1B5FA375" w14:textId="1BB9DD5F" w:rsidR="0070783C" w:rsidRPr="00607BFB" w:rsidRDefault="0011692C" w:rsidP="00E75014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Develop community hubs across boundaries in accessible centres near to where people live. </w:t>
      </w:r>
    </w:p>
    <w:p w14:paraId="579557BA" w14:textId="765CBBC2" w:rsidR="0070783C" w:rsidRPr="00607BFB" w:rsidRDefault="0011692C" w:rsidP="00074281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lastRenderedPageBreak/>
        <w:t>Agree key data bases to focus on what matters and evaluate progress and impact.</w:t>
      </w:r>
    </w:p>
    <w:p w14:paraId="6D92435B" w14:textId="77777777" w:rsidR="00DF41DE" w:rsidRPr="00607BFB" w:rsidRDefault="00DF41DE" w:rsidP="00074281">
      <w:pPr>
        <w:rPr>
          <w:rFonts w:cstheme="minorHAnsi"/>
          <w:b/>
          <w:bCs/>
          <w:sz w:val="28"/>
          <w:szCs w:val="28"/>
        </w:rPr>
      </w:pPr>
    </w:p>
    <w:p w14:paraId="51DE2725" w14:textId="5E0E81B1" w:rsidR="00FD3235" w:rsidRPr="00607BFB" w:rsidRDefault="0070783C" w:rsidP="00074281">
      <w:pPr>
        <w:rPr>
          <w:rFonts w:cstheme="minorHAnsi"/>
          <w:b/>
          <w:bCs/>
          <w:sz w:val="28"/>
          <w:szCs w:val="28"/>
        </w:rPr>
      </w:pPr>
      <w:r w:rsidRPr="00607BFB">
        <w:rPr>
          <w:rFonts w:cstheme="minorHAnsi"/>
          <w:b/>
          <w:bCs/>
          <w:sz w:val="28"/>
          <w:szCs w:val="28"/>
        </w:rPr>
        <w:t>A single impact framework for evaluating progress across ICSs</w:t>
      </w:r>
    </w:p>
    <w:p w14:paraId="13734670" w14:textId="18AC2DDE" w:rsidR="00E75014" w:rsidRPr="00607BFB" w:rsidRDefault="00021113">
      <w:p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Both projects</w:t>
      </w:r>
      <w:r w:rsidR="00E3568E" w:rsidRPr="00607BFB">
        <w:rPr>
          <w:rFonts w:cstheme="minorHAnsi"/>
          <w:sz w:val="28"/>
          <w:szCs w:val="28"/>
        </w:rPr>
        <w:t xml:space="preserve"> through co-production</w:t>
      </w:r>
      <w:r w:rsidRPr="00607BFB">
        <w:rPr>
          <w:rFonts w:cstheme="minorHAnsi"/>
          <w:sz w:val="28"/>
          <w:szCs w:val="28"/>
        </w:rPr>
        <w:t xml:space="preserve"> identify the impacts expected of transformation at different levels to </w:t>
      </w:r>
      <w:r w:rsidR="00E3568E" w:rsidRPr="00607BFB">
        <w:rPr>
          <w:rFonts w:cstheme="minorHAnsi"/>
          <w:sz w:val="28"/>
          <w:szCs w:val="28"/>
        </w:rPr>
        <w:t>enable</w:t>
      </w:r>
      <w:r w:rsidRPr="00607BFB">
        <w:rPr>
          <w:rFonts w:cstheme="minorHAnsi"/>
          <w:sz w:val="28"/>
          <w:szCs w:val="28"/>
        </w:rPr>
        <w:t xml:space="preserve"> ongoing </w:t>
      </w:r>
      <w:r w:rsidR="00E3568E" w:rsidRPr="00607BFB">
        <w:rPr>
          <w:rFonts w:cstheme="minorHAnsi"/>
          <w:sz w:val="28"/>
          <w:szCs w:val="28"/>
        </w:rPr>
        <w:t>evaluation</w:t>
      </w:r>
      <w:r w:rsidRPr="00607BFB">
        <w:rPr>
          <w:rFonts w:cstheme="minorHAnsi"/>
          <w:sz w:val="28"/>
          <w:szCs w:val="28"/>
        </w:rPr>
        <w:t xml:space="preserve"> embedded in practice with </w:t>
      </w:r>
      <w:r w:rsidR="00E3568E" w:rsidRPr="00607BFB">
        <w:rPr>
          <w:rFonts w:cstheme="minorHAnsi"/>
          <w:sz w:val="28"/>
          <w:szCs w:val="28"/>
        </w:rPr>
        <w:t>a strong focus on what matters to people.</w:t>
      </w:r>
      <w:r w:rsidR="00E75014" w:rsidRPr="00607BFB">
        <w:rPr>
          <w:rFonts w:cstheme="minorHAnsi"/>
          <w:sz w:val="28"/>
          <w:szCs w:val="28"/>
        </w:rPr>
        <w:t xml:space="preserve"> This has led to identifying the </w:t>
      </w:r>
      <w:r w:rsidR="0070783C" w:rsidRPr="00607BFB">
        <w:rPr>
          <w:rFonts w:cstheme="minorHAnsi"/>
          <w:sz w:val="28"/>
          <w:szCs w:val="28"/>
        </w:rPr>
        <w:t>need for a single impact/outc</w:t>
      </w:r>
      <w:r w:rsidRPr="00607BFB">
        <w:rPr>
          <w:rFonts w:cstheme="minorHAnsi"/>
          <w:sz w:val="28"/>
          <w:szCs w:val="28"/>
        </w:rPr>
        <w:t>o</w:t>
      </w:r>
      <w:r w:rsidR="0070783C" w:rsidRPr="00607BFB">
        <w:rPr>
          <w:rFonts w:cstheme="minorHAnsi"/>
          <w:sz w:val="28"/>
          <w:szCs w:val="28"/>
        </w:rPr>
        <w:t xml:space="preserve">me framework </w:t>
      </w:r>
      <w:r w:rsidR="00E3568E" w:rsidRPr="00607BFB">
        <w:rPr>
          <w:rFonts w:cstheme="minorHAnsi"/>
          <w:sz w:val="28"/>
          <w:szCs w:val="28"/>
        </w:rPr>
        <w:t>at</w:t>
      </w:r>
      <w:r w:rsidR="0070783C" w:rsidRPr="00607BFB">
        <w:rPr>
          <w:rFonts w:cstheme="minorHAnsi"/>
          <w:sz w:val="28"/>
          <w:szCs w:val="28"/>
        </w:rPr>
        <w:t xml:space="preserve"> ICS</w:t>
      </w:r>
      <w:r w:rsidR="00E3568E" w:rsidRPr="00607BFB">
        <w:rPr>
          <w:rFonts w:cstheme="minorHAnsi"/>
          <w:sz w:val="28"/>
          <w:szCs w:val="28"/>
        </w:rPr>
        <w:t xml:space="preserve"> level</w:t>
      </w:r>
      <w:r w:rsidR="0070783C" w:rsidRPr="00607BFB">
        <w:rPr>
          <w:rFonts w:cstheme="minorHAnsi"/>
          <w:sz w:val="28"/>
          <w:szCs w:val="28"/>
        </w:rPr>
        <w:t xml:space="preserve"> t</w:t>
      </w:r>
      <w:r w:rsidRPr="00607BFB">
        <w:rPr>
          <w:rFonts w:cstheme="minorHAnsi"/>
          <w:sz w:val="28"/>
          <w:szCs w:val="28"/>
        </w:rPr>
        <w:t>o</w:t>
      </w:r>
      <w:r w:rsidR="0070783C" w:rsidRPr="00607BFB">
        <w:rPr>
          <w:rFonts w:cstheme="minorHAnsi"/>
          <w:sz w:val="28"/>
          <w:szCs w:val="28"/>
        </w:rPr>
        <w:t xml:space="preserve"> reflect the </w:t>
      </w:r>
      <w:r w:rsidRPr="00607BFB">
        <w:rPr>
          <w:rFonts w:cstheme="minorHAnsi"/>
          <w:sz w:val="28"/>
          <w:szCs w:val="28"/>
        </w:rPr>
        <w:t xml:space="preserve">health and care </w:t>
      </w:r>
      <w:r w:rsidR="0070783C" w:rsidRPr="00607BFB">
        <w:rPr>
          <w:rFonts w:cstheme="minorHAnsi"/>
          <w:sz w:val="28"/>
          <w:szCs w:val="28"/>
        </w:rPr>
        <w:t xml:space="preserve">needs of local populations and what matters to </w:t>
      </w:r>
      <w:r w:rsidRPr="00607BFB">
        <w:rPr>
          <w:rFonts w:cstheme="minorHAnsi"/>
          <w:sz w:val="28"/>
          <w:szCs w:val="28"/>
        </w:rPr>
        <w:t xml:space="preserve">people </w:t>
      </w:r>
      <w:r w:rsidR="00074281" w:rsidRPr="00607BFB">
        <w:rPr>
          <w:rFonts w:cstheme="minorHAnsi"/>
          <w:sz w:val="28"/>
          <w:szCs w:val="28"/>
        </w:rPr>
        <w:t xml:space="preserve">to guide </w:t>
      </w:r>
      <w:r w:rsidRPr="00607BFB">
        <w:rPr>
          <w:rFonts w:cstheme="minorHAnsi"/>
          <w:sz w:val="28"/>
          <w:szCs w:val="28"/>
        </w:rPr>
        <w:t xml:space="preserve">on-going </w:t>
      </w:r>
      <w:r w:rsidR="00074281" w:rsidRPr="00607BFB">
        <w:rPr>
          <w:rFonts w:cstheme="minorHAnsi"/>
          <w:sz w:val="28"/>
          <w:szCs w:val="28"/>
        </w:rPr>
        <w:t>evaluation</w:t>
      </w:r>
      <w:r w:rsidRPr="00607BFB">
        <w:rPr>
          <w:rFonts w:cstheme="minorHAnsi"/>
          <w:sz w:val="28"/>
          <w:szCs w:val="28"/>
        </w:rPr>
        <w:t xml:space="preserve"> and progress of transformation</w:t>
      </w:r>
      <w:r w:rsidR="00DF41DE" w:rsidRPr="00607BFB">
        <w:rPr>
          <w:rFonts w:cstheme="minorHAnsi"/>
          <w:sz w:val="28"/>
          <w:szCs w:val="28"/>
        </w:rPr>
        <w:t xml:space="preserve"> coherently</w:t>
      </w:r>
      <w:r w:rsidR="00074281" w:rsidRPr="00607BFB">
        <w:rPr>
          <w:rFonts w:cstheme="minorHAnsi"/>
          <w:sz w:val="28"/>
          <w:szCs w:val="28"/>
        </w:rPr>
        <w:t>.</w:t>
      </w:r>
      <w:r w:rsidRPr="00607BFB">
        <w:rPr>
          <w:rFonts w:cstheme="minorHAnsi"/>
          <w:sz w:val="28"/>
          <w:szCs w:val="28"/>
        </w:rPr>
        <w:t xml:space="preserve"> </w:t>
      </w:r>
      <w:r w:rsidR="00E3568E" w:rsidRPr="00607BFB">
        <w:rPr>
          <w:rFonts w:cstheme="minorHAnsi"/>
          <w:sz w:val="28"/>
          <w:szCs w:val="28"/>
        </w:rPr>
        <w:t>F</w:t>
      </w:r>
      <w:r w:rsidRPr="00607BFB">
        <w:rPr>
          <w:rFonts w:cstheme="minorHAnsi"/>
          <w:sz w:val="28"/>
          <w:szCs w:val="28"/>
        </w:rPr>
        <w:t>unded evaluations</w:t>
      </w:r>
      <w:r w:rsidR="00457A90" w:rsidRPr="00607BFB">
        <w:rPr>
          <w:rFonts w:cstheme="minorHAnsi"/>
          <w:sz w:val="28"/>
          <w:szCs w:val="28"/>
        </w:rPr>
        <w:t xml:space="preserve"> from different sources</w:t>
      </w:r>
      <w:r w:rsidR="00E3568E" w:rsidRPr="00607BFB">
        <w:rPr>
          <w:rFonts w:cstheme="minorHAnsi"/>
          <w:sz w:val="28"/>
          <w:szCs w:val="28"/>
        </w:rPr>
        <w:t xml:space="preserve"> also</w:t>
      </w:r>
      <w:r w:rsidRPr="00607BFB">
        <w:rPr>
          <w:rFonts w:cstheme="minorHAnsi"/>
          <w:sz w:val="28"/>
          <w:szCs w:val="28"/>
        </w:rPr>
        <w:t xml:space="preserve"> have the potential to </w:t>
      </w:r>
      <w:r w:rsidR="00554216" w:rsidRPr="00607BFB">
        <w:rPr>
          <w:rFonts w:cstheme="minorHAnsi"/>
          <w:sz w:val="28"/>
          <w:szCs w:val="28"/>
        </w:rPr>
        <w:t xml:space="preserve">enhance </w:t>
      </w:r>
      <w:r w:rsidR="00074281" w:rsidRPr="00607BFB">
        <w:rPr>
          <w:rFonts w:cstheme="minorHAnsi"/>
          <w:sz w:val="28"/>
          <w:szCs w:val="28"/>
        </w:rPr>
        <w:t>insights</w:t>
      </w:r>
      <w:r w:rsidR="000C39D3" w:rsidRPr="00607BFB">
        <w:rPr>
          <w:rFonts w:cstheme="minorHAnsi"/>
          <w:sz w:val="28"/>
          <w:szCs w:val="28"/>
        </w:rPr>
        <w:t xml:space="preserve"> </w:t>
      </w:r>
      <w:r w:rsidR="00457A90" w:rsidRPr="00607BFB">
        <w:rPr>
          <w:rFonts w:cstheme="minorHAnsi"/>
          <w:sz w:val="28"/>
          <w:szCs w:val="28"/>
        </w:rPr>
        <w:t>for</w:t>
      </w:r>
      <w:r w:rsidR="000C39D3" w:rsidRPr="00607BFB">
        <w:rPr>
          <w:rFonts w:cstheme="minorHAnsi"/>
          <w:sz w:val="28"/>
          <w:szCs w:val="28"/>
        </w:rPr>
        <w:t xml:space="preserve"> </w:t>
      </w:r>
      <w:r w:rsidR="00074281" w:rsidRPr="00607BFB">
        <w:rPr>
          <w:rFonts w:cstheme="minorHAnsi"/>
          <w:sz w:val="28"/>
          <w:szCs w:val="28"/>
        </w:rPr>
        <w:t xml:space="preserve">learning and improvement </w:t>
      </w:r>
      <w:r w:rsidRPr="00607BFB">
        <w:rPr>
          <w:rFonts w:cstheme="minorHAnsi"/>
          <w:sz w:val="28"/>
          <w:szCs w:val="28"/>
        </w:rPr>
        <w:t xml:space="preserve">with </w:t>
      </w:r>
      <w:r w:rsidR="000C39D3" w:rsidRPr="00607BFB">
        <w:rPr>
          <w:rFonts w:cstheme="minorHAnsi"/>
          <w:sz w:val="28"/>
          <w:szCs w:val="28"/>
        </w:rPr>
        <w:t>communities</w:t>
      </w:r>
      <w:r w:rsidRPr="00607BFB">
        <w:rPr>
          <w:rFonts w:cstheme="minorHAnsi"/>
          <w:sz w:val="28"/>
          <w:szCs w:val="28"/>
        </w:rPr>
        <w:t xml:space="preserve"> if guided by a </w:t>
      </w:r>
      <w:r w:rsidR="00554216" w:rsidRPr="00607BFB">
        <w:rPr>
          <w:rFonts w:cstheme="minorHAnsi"/>
          <w:sz w:val="28"/>
          <w:szCs w:val="28"/>
        </w:rPr>
        <w:t xml:space="preserve">single </w:t>
      </w:r>
      <w:r w:rsidRPr="00607BFB">
        <w:rPr>
          <w:rFonts w:cstheme="minorHAnsi"/>
          <w:sz w:val="28"/>
          <w:szCs w:val="28"/>
        </w:rPr>
        <w:t>framework</w:t>
      </w:r>
      <w:r w:rsidR="00E3568E" w:rsidRPr="00607BFB">
        <w:rPr>
          <w:rFonts w:cstheme="minorHAnsi"/>
          <w:sz w:val="28"/>
          <w:szCs w:val="28"/>
        </w:rPr>
        <w:t xml:space="preserve">. </w:t>
      </w:r>
      <w:r w:rsidRPr="00607BFB">
        <w:rPr>
          <w:rFonts w:cstheme="minorHAnsi"/>
          <w:sz w:val="28"/>
          <w:szCs w:val="28"/>
        </w:rPr>
        <w:t xml:space="preserve"> </w:t>
      </w:r>
    </w:p>
    <w:p w14:paraId="60E121AC" w14:textId="45D52443" w:rsidR="00995A45" w:rsidRPr="00607BFB" w:rsidRDefault="00E3568E">
      <w:p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Whilst we all aspire to achiev</w:t>
      </w:r>
      <w:r w:rsidR="00457A90" w:rsidRPr="00607BFB">
        <w:rPr>
          <w:rFonts w:cstheme="minorHAnsi"/>
          <w:sz w:val="28"/>
          <w:szCs w:val="28"/>
        </w:rPr>
        <w:t>e</w:t>
      </w:r>
      <w:r w:rsidRPr="00607BFB">
        <w:rPr>
          <w:rFonts w:cstheme="minorHAnsi"/>
          <w:sz w:val="28"/>
          <w:szCs w:val="28"/>
        </w:rPr>
        <w:t xml:space="preserve"> the longer term and large</w:t>
      </w:r>
      <w:r w:rsidR="00457A90" w:rsidRPr="00607BFB">
        <w:rPr>
          <w:rFonts w:cstheme="minorHAnsi"/>
          <w:sz w:val="28"/>
          <w:szCs w:val="28"/>
        </w:rPr>
        <w:t>r</w:t>
      </w:r>
      <w:r w:rsidRPr="00607BFB">
        <w:rPr>
          <w:rFonts w:cstheme="minorHAnsi"/>
          <w:sz w:val="28"/>
          <w:szCs w:val="28"/>
        </w:rPr>
        <w:t xml:space="preserve"> scale health population outcomes, it is important to acknowledge how</w:t>
      </w:r>
      <w:r w:rsidR="00E75014" w:rsidRPr="00607BFB">
        <w:rPr>
          <w:rFonts w:cstheme="minorHAnsi"/>
          <w:sz w:val="28"/>
          <w:szCs w:val="28"/>
        </w:rPr>
        <w:t xml:space="preserve"> </w:t>
      </w:r>
      <w:r w:rsidR="00457A90" w:rsidRPr="00607BFB">
        <w:rPr>
          <w:rFonts w:cstheme="minorHAnsi"/>
          <w:sz w:val="28"/>
          <w:szCs w:val="28"/>
        </w:rPr>
        <w:t xml:space="preserve">successfully </w:t>
      </w:r>
      <w:r w:rsidR="00E75014" w:rsidRPr="00607BFB">
        <w:rPr>
          <w:rFonts w:cstheme="minorHAnsi"/>
          <w:sz w:val="28"/>
          <w:szCs w:val="28"/>
        </w:rPr>
        <w:t xml:space="preserve">implementing key </w:t>
      </w:r>
      <w:r w:rsidRPr="00607BFB">
        <w:rPr>
          <w:rFonts w:cstheme="minorHAnsi"/>
          <w:sz w:val="28"/>
          <w:szCs w:val="28"/>
        </w:rPr>
        <w:t xml:space="preserve">building blocks </w:t>
      </w:r>
      <w:r w:rsidR="00554216" w:rsidRPr="00607BFB">
        <w:rPr>
          <w:rFonts w:cstheme="minorHAnsi"/>
          <w:sz w:val="28"/>
          <w:szCs w:val="28"/>
        </w:rPr>
        <w:t>when initiating</w:t>
      </w:r>
      <w:r w:rsidRPr="00607BFB">
        <w:rPr>
          <w:rFonts w:cstheme="minorHAnsi"/>
          <w:sz w:val="28"/>
          <w:szCs w:val="28"/>
        </w:rPr>
        <w:t xml:space="preserve"> </w:t>
      </w:r>
      <w:r w:rsidR="00457A90" w:rsidRPr="00607BFB">
        <w:rPr>
          <w:rFonts w:cstheme="minorHAnsi"/>
          <w:sz w:val="28"/>
          <w:szCs w:val="28"/>
        </w:rPr>
        <w:t xml:space="preserve">a journey of </w:t>
      </w:r>
      <w:r w:rsidRPr="00607BFB">
        <w:rPr>
          <w:rFonts w:cstheme="minorHAnsi"/>
          <w:sz w:val="28"/>
          <w:szCs w:val="28"/>
        </w:rPr>
        <w:t>system transformation</w:t>
      </w:r>
      <w:r w:rsidR="00457A90" w:rsidRPr="00607BFB">
        <w:rPr>
          <w:rFonts w:cstheme="minorHAnsi"/>
          <w:sz w:val="28"/>
          <w:szCs w:val="28"/>
        </w:rPr>
        <w:t xml:space="preserve"> (</w:t>
      </w:r>
      <w:r w:rsidR="00554216" w:rsidRPr="00607BFB">
        <w:rPr>
          <w:rFonts w:cstheme="minorHAnsi"/>
          <w:sz w:val="28"/>
          <w:szCs w:val="28"/>
        </w:rPr>
        <w:t>e.g. developing effective person centred cultures</w:t>
      </w:r>
      <w:r w:rsidR="00457A90" w:rsidRPr="00607BFB">
        <w:rPr>
          <w:rFonts w:cstheme="minorHAnsi"/>
          <w:sz w:val="28"/>
          <w:szCs w:val="28"/>
        </w:rPr>
        <w:t xml:space="preserve">, </w:t>
      </w:r>
      <w:r w:rsidR="00554216" w:rsidRPr="00607BFB">
        <w:rPr>
          <w:rFonts w:cstheme="minorHAnsi"/>
          <w:sz w:val="28"/>
          <w:szCs w:val="28"/>
        </w:rPr>
        <w:t>building person centred leaders and relationships</w:t>
      </w:r>
      <w:r w:rsidR="00457A90" w:rsidRPr="00607BFB">
        <w:rPr>
          <w:rFonts w:cstheme="minorHAnsi"/>
          <w:sz w:val="28"/>
          <w:szCs w:val="28"/>
        </w:rPr>
        <w:t>)</w:t>
      </w:r>
      <w:r w:rsidR="00554216" w:rsidRPr="00607BFB">
        <w:rPr>
          <w:rFonts w:cstheme="minorHAnsi"/>
          <w:sz w:val="28"/>
          <w:szCs w:val="28"/>
        </w:rPr>
        <w:t xml:space="preserve"> </w:t>
      </w:r>
      <w:r w:rsidRPr="00607BFB">
        <w:rPr>
          <w:rFonts w:cstheme="minorHAnsi"/>
          <w:sz w:val="28"/>
          <w:szCs w:val="28"/>
        </w:rPr>
        <w:t>can act as a proxy for these much harder to achieve outcomes</w:t>
      </w:r>
      <w:r w:rsidR="007114CD" w:rsidRPr="00607BFB">
        <w:rPr>
          <w:rFonts w:cstheme="minorHAnsi"/>
          <w:sz w:val="28"/>
          <w:szCs w:val="28"/>
          <w:vertAlign w:val="superscript"/>
        </w:rPr>
        <w:t>10,</w:t>
      </w:r>
      <w:r w:rsidR="00457A90" w:rsidRPr="00607BFB">
        <w:rPr>
          <w:rFonts w:cstheme="minorHAnsi"/>
          <w:sz w:val="28"/>
          <w:szCs w:val="28"/>
          <w:vertAlign w:val="superscript"/>
        </w:rPr>
        <w:t>,1</w:t>
      </w:r>
      <w:r w:rsidR="007114CD" w:rsidRPr="00607BFB">
        <w:rPr>
          <w:rFonts w:cstheme="minorHAnsi"/>
          <w:sz w:val="28"/>
          <w:szCs w:val="28"/>
          <w:vertAlign w:val="superscript"/>
        </w:rPr>
        <w:t>1</w:t>
      </w:r>
      <w:r w:rsidR="00457A90" w:rsidRPr="00607BFB">
        <w:rPr>
          <w:rFonts w:cstheme="minorHAnsi"/>
          <w:sz w:val="28"/>
          <w:szCs w:val="28"/>
          <w:vertAlign w:val="superscript"/>
        </w:rPr>
        <w:t>,1</w:t>
      </w:r>
      <w:r w:rsidR="007114CD" w:rsidRPr="00607BFB">
        <w:rPr>
          <w:rFonts w:cstheme="minorHAnsi"/>
          <w:sz w:val="28"/>
          <w:szCs w:val="28"/>
          <w:vertAlign w:val="superscript"/>
        </w:rPr>
        <w:t>2</w:t>
      </w:r>
      <w:r w:rsidR="00554216" w:rsidRPr="00607BFB">
        <w:rPr>
          <w:rFonts w:cstheme="minorHAnsi"/>
          <w:sz w:val="28"/>
          <w:szCs w:val="28"/>
        </w:rPr>
        <w:t xml:space="preserve">. </w:t>
      </w:r>
      <w:r w:rsidR="00457A90" w:rsidRPr="00607BFB">
        <w:rPr>
          <w:rFonts w:cstheme="minorHAnsi"/>
          <w:sz w:val="28"/>
          <w:szCs w:val="28"/>
        </w:rPr>
        <w:t xml:space="preserve"> For example  developing e</w:t>
      </w:r>
      <w:r w:rsidRPr="00607BFB">
        <w:rPr>
          <w:rFonts w:cstheme="minorHAnsi"/>
          <w:sz w:val="28"/>
          <w:szCs w:val="28"/>
        </w:rPr>
        <w:t>ffective workplace cultures</w:t>
      </w:r>
      <w:r w:rsidR="00457A90" w:rsidRPr="00607BFB">
        <w:rPr>
          <w:rFonts w:cstheme="minorHAnsi"/>
          <w:sz w:val="28"/>
          <w:szCs w:val="28"/>
        </w:rPr>
        <w:t xml:space="preserve"> at every level of the system and across it</w:t>
      </w:r>
      <w:r w:rsidR="00021113" w:rsidRPr="00607BFB">
        <w:rPr>
          <w:rFonts w:cstheme="minorHAnsi"/>
          <w:sz w:val="28"/>
          <w:szCs w:val="28"/>
        </w:rPr>
        <w:t xml:space="preserve"> can act as a powerful proxy for achieving</w:t>
      </w:r>
      <w:r w:rsidRPr="00607BFB">
        <w:rPr>
          <w:rFonts w:cstheme="minorHAnsi"/>
          <w:sz w:val="28"/>
          <w:szCs w:val="28"/>
        </w:rPr>
        <w:t xml:space="preserve"> high level </w:t>
      </w:r>
      <w:r w:rsidR="00457A90" w:rsidRPr="00607BFB">
        <w:rPr>
          <w:rFonts w:cstheme="minorHAnsi"/>
          <w:sz w:val="28"/>
          <w:szCs w:val="28"/>
        </w:rPr>
        <w:t xml:space="preserve">population </w:t>
      </w:r>
      <w:r w:rsidRPr="00607BFB">
        <w:rPr>
          <w:rFonts w:cstheme="minorHAnsi"/>
          <w:sz w:val="28"/>
          <w:szCs w:val="28"/>
        </w:rPr>
        <w:t xml:space="preserve">outcomes through </w:t>
      </w:r>
      <w:r w:rsidR="00457A90" w:rsidRPr="00607BFB">
        <w:rPr>
          <w:rFonts w:cstheme="minorHAnsi"/>
          <w:sz w:val="28"/>
          <w:szCs w:val="28"/>
        </w:rPr>
        <w:t xml:space="preserve">the mechanism of </w:t>
      </w:r>
      <w:r w:rsidRPr="00607BFB">
        <w:rPr>
          <w:rFonts w:cstheme="minorHAnsi"/>
          <w:sz w:val="28"/>
          <w:szCs w:val="28"/>
        </w:rPr>
        <w:t xml:space="preserve">enabling </w:t>
      </w:r>
      <w:r w:rsidR="00554216" w:rsidRPr="00607BFB">
        <w:rPr>
          <w:rFonts w:cstheme="minorHAnsi"/>
          <w:sz w:val="28"/>
          <w:szCs w:val="28"/>
        </w:rPr>
        <w:t>everyone</w:t>
      </w:r>
      <w:r w:rsidRPr="00607BFB">
        <w:rPr>
          <w:rFonts w:cstheme="minorHAnsi"/>
          <w:sz w:val="28"/>
          <w:szCs w:val="28"/>
        </w:rPr>
        <w:t xml:space="preserve"> to thrive and flourish</w:t>
      </w:r>
      <w:r w:rsidR="00457A90" w:rsidRPr="00607BFB">
        <w:rPr>
          <w:rFonts w:cstheme="minorHAnsi"/>
          <w:sz w:val="28"/>
          <w:szCs w:val="28"/>
        </w:rPr>
        <w:t xml:space="preserve"> which enable the </w:t>
      </w:r>
      <w:r w:rsidR="00554216" w:rsidRPr="00607BFB">
        <w:rPr>
          <w:rFonts w:cstheme="minorHAnsi"/>
          <w:sz w:val="28"/>
          <w:szCs w:val="28"/>
        </w:rPr>
        <w:t>develop</w:t>
      </w:r>
      <w:r w:rsidR="00457A90" w:rsidRPr="00607BFB">
        <w:rPr>
          <w:rFonts w:cstheme="minorHAnsi"/>
          <w:sz w:val="28"/>
          <w:szCs w:val="28"/>
        </w:rPr>
        <w:t>ment of</w:t>
      </w:r>
      <w:r w:rsidR="00554216" w:rsidRPr="00607BFB">
        <w:rPr>
          <w:rFonts w:cstheme="minorHAnsi"/>
          <w:sz w:val="28"/>
          <w:szCs w:val="28"/>
        </w:rPr>
        <w:t xml:space="preserve"> </w:t>
      </w:r>
      <w:r w:rsidRPr="00607BFB">
        <w:rPr>
          <w:rFonts w:cstheme="minorHAnsi"/>
          <w:sz w:val="28"/>
          <w:szCs w:val="28"/>
        </w:rPr>
        <w:t xml:space="preserve">high performing teams, </w:t>
      </w:r>
      <w:r w:rsidR="00457A90" w:rsidRPr="00607BFB">
        <w:rPr>
          <w:rFonts w:cstheme="minorHAnsi"/>
          <w:sz w:val="28"/>
          <w:szCs w:val="28"/>
        </w:rPr>
        <w:t xml:space="preserve"> the </w:t>
      </w:r>
      <w:r w:rsidRPr="00607BFB">
        <w:rPr>
          <w:rFonts w:cstheme="minorHAnsi"/>
          <w:sz w:val="28"/>
          <w:szCs w:val="28"/>
        </w:rPr>
        <w:t xml:space="preserve">retention and </w:t>
      </w:r>
      <w:r w:rsidR="00554216" w:rsidRPr="00607BFB">
        <w:rPr>
          <w:rFonts w:cstheme="minorHAnsi"/>
          <w:sz w:val="28"/>
          <w:szCs w:val="28"/>
        </w:rPr>
        <w:t>development</w:t>
      </w:r>
      <w:r w:rsidRPr="00607BFB">
        <w:rPr>
          <w:rFonts w:cstheme="minorHAnsi"/>
          <w:sz w:val="28"/>
          <w:szCs w:val="28"/>
        </w:rPr>
        <w:t xml:space="preserve"> of staff, innovation and</w:t>
      </w:r>
      <w:r w:rsidR="00554216" w:rsidRPr="00607BFB">
        <w:rPr>
          <w:rFonts w:cstheme="minorHAnsi"/>
          <w:sz w:val="28"/>
          <w:szCs w:val="28"/>
        </w:rPr>
        <w:t xml:space="preserve"> continuing</w:t>
      </w:r>
      <w:r w:rsidRPr="00607BFB">
        <w:rPr>
          <w:rFonts w:cstheme="minorHAnsi"/>
          <w:sz w:val="28"/>
          <w:szCs w:val="28"/>
        </w:rPr>
        <w:t xml:space="preserve"> true co-production</w:t>
      </w:r>
      <w:r w:rsidR="00457A90" w:rsidRPr="00607BFB">
        <w:rPr>
          <w:rFonts w:cstheme="minorHAnsi"/>
          <w:sz w:val="28"/>
          <w:szCs w:val="28"/>
        </w:rPr>
        <w:t xml:space="preserve">. </w:t>
      </w:r>
    </w:p>
    <w:p w14:paraId="76405BB9" w14:textId="0C403056" w:rsidR="000C39D3" w:rsidRPr="00607BFB" w:rsidRDefault="00E72302" w:rsidP="002909C6">
      <w:pPr>
        <w:rPr>
          <w:rFonts w:cstheme="minorHAnsi"/>
          <w:sz w:val="28"/>
          <w:szCs w:val="28"/>
        </w:rPr>
      </w:pP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>Over the past 15 years</w:t>
      </w:r>
      <w:r w:rsidR="00554216" w:rsidRPr="00607BFB">
        <w:rPr>
          <w:rFonts w:cstheme="minorHAnsi"/>
          <w:color w:val="222222"/>
          <w:sz w:val="28"/>
          <w:szCs w:val="28"/>
          <w:shd w:val="clear" w:color="auto" w:fill="FFFFFF"/>
        </w:rPr>
        <w:t>,</w:t>
      </w:r>
      <w:r w:rsidR="00457A90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members of the </w:t>
      </w:r>
      <w:proofErr w:type="spellStart"/>
      <w:r w:rsidR="00457A90" w:rsidRPr="00607BFB">
        <w:rPr>
          <w:rFonts w:cstheme="minorHAnsi"/>
          <w:color w:val="222222"/>
          <w:sz w:val="28"/>
          <w:szCs w:val="28"/>
          <w:shd w:val="clear" w:color="auto" w:fill="FFFFFF"/>
        </w:rPr>
        <w:t>ImPact</w:t>
      </w:r>
      <w:proofErr w:type="spellEnd"/>
      <w:r w:rsidR="00457A90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7114CD" w:rsidRPr="00607BFB">
        <w:rPr>
          <w:rFonts w:cstheme="minorHAnsi"/>
          <w:color w:val="222222"/>
          <w:sz w:val="28"/>
          <w:szCs w:val="28"/>
          <w:shd w:val="clear" w:color="auto" w:fill="FFFFFF"/>
        </w:rPr>
        <w:t>R</w:t>
      </w:r>
      <w:r w:rsidR="00457A90" w:rsidRPr="00607BFB">
        <w:rPr>
          <w:rFonts w:cstheme="minorHAnsi"/>
          <w:color w:val="222222"/>
          <w:sz w:val="28"/>
          <w:szCs w:val="28"/>
          <w:shd w:val="clear" w:color="auto" w:fill="FFFFFF"/>
        </w:rPr>
        <w:t>esearch Group</w:t>
      </w:r>
      <w:r w:rsidR="007114CD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members</w:t>
      </w:r>
      <w:r w:rsidR="00554216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as </w:t>
      </w:r>
      <w:r w:rsidR="007114CD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national and international </w:t>
      </w:r>
      <w:r w:rsidR="00554216" w:rsidRPr="00607BFB">
        <w:rPr>
          <w:rFonts w:cstheme="minorHAnsi"/>
          <w:color w:val="222222"/>
          <w:sz w:val="28"/>
          <w:szCs w:val="28"/>
          <w:shd w:val="clear" w:color="auto" w:fill="FFFFFF"/>
        </w:rPr>
        <w:t>practice developers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have been tracking the impact of strategic pillars of leadership, culture change, facilitating person centred safe and effective care </w:t>
      </w:r>
      <w:r w:rsidR="00740F71" w:rsidRPr="00607BFB">
        <w:rPr>
          <w:rFonts w:cstheme="minorHAnsi"/>
          <w:color w:val="222222"/>
          <w:sz w:val="28"/>
          <w:szCs w:val="28"/>
          <w:shd w:val="clear" w:color="auto" w:fill="FFFFFF"/>
        </w:rPr>
        <w:t>based on collaborative, i</w:t>
      </w:r>
      <w:r w:rsidR="00554216" w:rsidRPr="00607BFB">
        <w:rPr>
          <w:rFonts w:cstheme="minorHAnsi"/>
          <w:color w:val="222222"/>
          <w:sz w:val="28"/>
          <w:szCs w:val="28"/>
          <w:shd w:val="clear" w:color="auto" w:fill="FFFFFF"/>
        </w:rPr>
        <w:t>n</w:t>
      </w:r>
      <w:r w:rsidR="00740F71" w:rsidRPr="00607BFB">
        <w:rPr>
          <w:rFonts w:cstheme="minorHAnsi"/>
          <w:color w:val="222222"/>
          <w:sz w:val="28"/>
          <w:szCs w:val="28"/>
          <w:shd w:val="clear" w:color="auto" w:fill="FFFFFF"/>
        </w:rPr>
        <w:t>clusive and participative approaches</w:t>
      </w:r>
      <w:r w:rsidR="007114CD" w:rsidRPr="00607BFB">
        <w:rPr>
          <w:rFonts w:cstheme="minorHAnsi"/>
          <w:color w:val="222222"/>
          <w:sz w:val="28"/>
          <w:szCs w:val="28"/>
          <w:shd w:val="clear" w:color="auto" w:fill="FFFFFF"/>
          <w:vertAlign w:val="superscript"/>
        </w:rPr>
        <w:t>13</w:t>
      </w:r>
      <w:r w:rsidR="007114CD" w:rsidRPr="00607BFB">
        <w:rPr>
          <w:rFonts w:cstheme="minorHAnsi"/>
          <w:color w:val="222222"/>
          <w:sz w:val="28"/>
          <w:szCs w:val="28"/>
          <w:shd w:val="clear" w:color="auto" w:fill="FFFFFF"/>
        </w:rPr>
        <w:t>.</w:t>
      </w:r>
      <w:r w:rsidR="00740F71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 </w:t>
      </w:r>
      <w:r w:rsidR="00D64245" w:rsidRPr="00607BFB">
        <w:rPr>
          <w:rFonts w:cstheme="minorHAnsi"/>
          <w:color w:val="222222"/>
          <w:sz w:val="28"/>
          <w:szCs w:val="28"/>
          <w:shd w:val="clear" w:color="auto" w:fill="FFFFFF"/>
        </w:rPr>
        <w:t>We</w:t>
      </w:r>
      <w:r w:rsidR="00740F71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have distilled a</w:t>
      </w:r>
      <w:r w:rsidR="00A83FC5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preliminary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impact framework</w:t>
      </w:r>
      <w:r w:rsidR="00A83FC5" w:rsidRPr="00607BFB">
        <w:rPr>
          <w:rFonts w:cstheme="minorHAnsi"/>
          <w:color w:val="222222"/>
          <w:sz w:val="28"/>
          <w:szCs w:val="28"/>
          <w:shd w:val="clear" w:color="auto" w:fill="FFFFFF"/>
          <w:vertAlign w:val="superscript"/>
        </w:rPr>
        <w:t>14</w:t>
      </w:r>
      <w:r w:rsidR="00740F71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based on these insights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t</w:t>
      </w:r>
      <w:r w:rsidR="00554216" w:rsidRPr="00607BFB">
        <w:rPr>
          <w:rFonts w:cstheme="minorHAnsi"/>
          <w:color w:val="222222"/>
          <w:sz w:val="28"/>
          <w:szCs w:val="28"/>
          <w:shd w:val="clear" w:color="auto" w:fill="FFFFFF"/>
        </w:rPr>
        <w:t>o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identif</w:t>
      </w:r>
      <w:r w:rsidR="00554216" w:rsidRPr="00607BFB">
        <w:rPr>
          <w:rFonts w:cstheme="minorHAnsi"/>
          <w:color w:val="222222"/>
          <w:sz w:val="28"/>
          <w:szCs w:val="28"/>
          <w:shd w:val="clear" w:color="auto" w:fill="FFFFFF"/>
        </w:rPr>
        <w:t>y a single impact framework that identifies the building blocks, process outcomes</w:t>
      </w:r>
      <w:r w:rsidR="00D64245" w:rsidRPr="00607BFB">
        <w:rPr>
          <w:rFonts w:cstheme="minorHAnsi"/>
          <w:color w:val="222222"/>
          <w:sz w:val="28"/>
          <w:szCs w:val="28"/>
          <w:shd w:val="clear" w:color="auto" w:fill="FFFFFF"/>
        </w:rPr>
        <w:t>,</w:t>
      </w:r>
      <w:r w:rsidR="00554216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sustainability features and longer</w:t>
      </w:r>
      <w:r w:rsidR="007114CD" w:rsidRPr="00607BFB">
        <w:rPr>
          <w:rFonts w:cstheme="minorHAnsi"/>
          <w:color w:val="222222"/>
          <w:sz w:val="28"/>
          <w:szCs w:val="28"/>
          <w:shd w:val="clear" w:color="auto" w:fill="FFFFFF"/>
        </w:rPr>
        <w:t>-</w:t>
      </w:r>
      <w:r w:rsidR="00554216" w:rsidRPr="00607BFB">
        <w:rPr>
          <w:rFonts w:cstheme="minorHAnsi"/>
          <w:color w:val="222222"/>
          <w:sz w:val="28"/>
          <w:szCs w:val="28"/>
          <w:shd w:val="clear" w:color="auto" w:fill="FFFFFF"/>
        </w:rPr>
        <w:t>term outcomes across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different levels of the health and social care system</w:t>
      </w:r>
      <w:r w:rsidR="00D64245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and societ</w:t>
      </w:r>
      <w:r w:rsidR="007114CD" w:rsidRPr="00607BFB">
        <w:rPr>
          <w:rFonts w:cstheme="minorHAnsi"/>
          <w:color w:val="222222"/>
          <w:sz w:val="28"/>
          <w:szCs w:val="28"/>
          <w:shd w:val="clear" w:color="auto" w:fill="FFFFFF"/>
        </w:rPr>
        <w:t>y</w:t>
      </w:r>
      <w:r w:rsidR="00554216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. Whilst </w:t>
      </w:r>
      <w:proofErr w:type="gramStart"/>
      <w:r w:rsidR="00554216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this </w:t>
      </w:r>
      <w:r w:rsidR="00D64245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framework</w:t>
      </w:r>
      <w:proofErr w:type="gramEnd"/>
      <w:r w:rsidR="00D64245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740F71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requires to be exposed to challenge in further co production cycles with citizens, staff groups and </w:t>
      </w:r>
      <w:r w:rsidR="00D64245" w:rsidRPr="00607BFB">
        <w:rPr>
          <w:rFonts w:cstheme="minorHAnsi"/>
          <w:color w:val="222222"/>
          <w:sz w:val="28"/>
          <w:szCs w:val="28"/>
          <w:shd w:val="clear" w:color="auto" w:fill="FFFFFF"/>
        </w:rPr>
        <w:t>evaluators</w:t>
      </w:r>
      <w:r w:rsidR="005C34F5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, it </w:t>
      </w:r>
      <w:r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has potential for </w:t>
      </w:r>
      <w:r w:rsidR="00740F71" w:rsidRPr="00607BFB">
        <w:rPr>
          <w:rFonts w:cstheme="minorHAnsi"/>
          <w:color w:val="222222"/>
          <w:sz w:val="28"/>
          <w:szCs w:val="28"/>
          <w:shd w:val="clear" w:color="auto" w:fill="FFFFFF"/>
        </w:rPr>
        <w:t xml:space="preserve"> guiding ICSs with </w:t>
      </w:r>
      <w:r w:rsidR="00740F71" w:rsidRPr="00607BFB">
        <w:rPr>
          <w:rFonts w:cstheme="minorHAnsi"/>
          <w:sz w:val="28"/>
          <w:szCs w:val="28"/>
        </w:rPr>
        <w:t xml:space="preserve">establishing the building blocks of effective  systems and pathways as </w:t>
      </w:r>
      <w:r w:rsidR="00740F71" w:rsidRPr="00607BFB">
        <w:rPr>
          <w:rFonts w:cstheme="minorHAnsi"/>
          <w:sz w:val="28"/>
          <w:szCs w:val="28"/>
        </w:rPr>
        <w:lastRenderedPageBreak/>
        <w:t>well as evaluating progress towards ‘joined up’ people centred health and care.</w:t>
      </w:r>
      <w:r w:rsidR="00D64245" w:rsidRPr="00607BFB">
        <w:rPr>
          <w:rFonts w:cstheme="minorHAnsi"/>
          <w:sz w:val="28"/>
          <w:szCs w:val="28"/>
        </w:rPr>
        <w:t xml:space="preserve"> </w:t>
      </w:r>
      <w:r w:rsidR="00007358" w:rsidRPr="00607BFB">
        <w:rPr>
          <w:rFonts w:cstheme="minorHAnsi"/>
          <w:sz w:val="28"/>
          <w:szCs w:val="28"/>
        </w:rPr>
        <w:t xml:space="preserve">The </w:t>
      </w:r>
      <w:r w:rsidR="001A6184" w:rsidRPr="00607BFB">
        <w:rPr>
          <w:rFonts w:cstheme="minorHAnsi"/>
          <w:sz w:val="28"/>
          <w:szCs w:val="28"/>
        </w:rPr>
        <w:t xml:space="preserve">broad </w:t>
      </w:r>
      <w:r w:rsidR="00007358" w:rsidRPr="00607BFB">
        <w:rPr>
          <w:rFonts w:cstheme="minorHAnsi"/>
          <w:sz w:val="28"/>
          <w:szCs w:val="28"/>
        </w:rPr>
        <w:t>impact themes</w:t>
      </w:r>
      <w:r w:rsidR="00995A45" w:rsidRPr="00607BFB">
        <w:rPr>
          <w:rFonts w:cstheme="minorHAnsi"/>
          <w:sz w:val="28"/>
          <w:szCs w:val="28"/>
        </w:rPr>
        <w:t xml:space="preserve"> </w:t>
      </w:r>
      <w:r w:rsidR="001A6184" w:rsidRPr="00607BFB">
        <w:rPr>
          <w:rFonts w:cstheme="minorHAnsi"/>
          <w:sz w:val="28"/>
          <w:szCs w:val="28"/>
        </w:rPr>
        <w:t>(identified below)</w:t>
      </w:r>
      <w:r w:rsidR="00007358" w:rsidRPr="00607BFB">
        <w:rPr>
          <w:rFonts w:cstheme="minorHAnsi"/>
          <w:sz w:val="28"/>
          <w:szCs w:val="28"/>
        </w:rPr>
        <w:t xml:space="preserve"> can </w:t>
      </w:r>
      <w:r w:rsidR="00D64245" w:rsidRPr="00607BFB">
        <w:rPr>
          <w:rFonts w:cstheme="minorHAnsi"/>
          <w:sz w:val="28"/>
          <w:szCs w:val="28"/>
        </w:rPr>
        <w:t xml:space="preserve">therefore </w:t>
      </w:r>
      <w:r w:rsidR="00007358" w:rsidRPr="00607BFB">
        <w:rPr>
          <w:rFonts w:cstheme="minorHAnsi"/>
          <w:sz w:val="28"/>
          <w:szCs w:val="28"/>
        </w:rPr>
        <w:t xml:space="preserve">guide </w:t>
      </w:r>
      <w:r w:rsidR="001A6184" w:rsidRPr="00607BFB">
        <w:rPr>
          <w:rFonts w:cstheme="minorHAnsi"/>
          <w:sz w:val="28"/>
          <w:szCs w:val="28"/>
        </w:rPr>
        <w:t>evaluation</w:t>
      </w:r>
      <w:r w:rsidR="00007358" w:rsidRPr="00607BFB">
        <w:rPr>
          <w:rFonts w:cstheme="minorHAnsi"/>
          <w:sz w:val="28"/>
          <w:szCs w:val="28"/>
        </w:rPr>
        <w:t xml:space="preserve"> of</w:t>
      </w:r>
      <w:r w:rsidR="007114CD" w:rsidRPr="00607BFB">
        <w:rPr>
          <w:rFonts w:cstheme="minorHAnsi"/>
          <w:sz w:val="28"/>
          <w:szCs w:val="28"/>
        </w:rPr>
        <w:t xml:space="preserve"> system transformation by</w:t>
      </w:r>
      <w:r w:rsidR="00007358" w:rsidRPr="00607BFB">
        <w:rPr>
          <w:rFonts w:cstheme="minorHAnsi"/>
          <w:sz w:val="28"/>
          <w:szCs w:val="28"/>
        </w:rPr>
        <w:t xml:space="preserve"> IC</w:t>
      </w:r>
      <w:r w:rsidR="00995A45" w:rsidRPr="00607BFB">
        <w:rPr>
          <w:rFonts w:cstheme="minorHAnsi"/>
          <w:sz w:val="28"/>
          <w:szCs w:val="28"/>
        </w:rPr>
        <w:t>S</w:t>
      </w:r>
      <w:r w:rsidR="00007358" w:rsidRPr="00607BFB">
        <w:rPr>
          <w:rFonts w:cstheme="minorHAnsi"/>
          <w:sz w:val="28"/>
          <w:szCs w:val="28"/>
        </w:rPr>
        <w:t xml:space="preserve">s </w:t>
      </w:r>
      <w:r w:rsidR="00D64245" w:rsidRPr="00607BFB">
        <w:rPr>
          <w:rFonts w:cstheme="minorHAnsi"/>
          <w:sz w:val="28"/>
          <w:szCs w:val="28"/>
        </w:rPr>
        <w:t>through relevant indic</w:t>
      </w:r>
      <w:r w:rsidR="007114CD" w:rsidRPr="00607BFB">
        <w:rPr>
          <w:rFonts w:cstheme="minorHAnsi"/>
          <w:sz w:val="28"/>
          <w:szCs w:val="28"/>
        </w:rPr>
        <w:t>a</w:t>
      </w:r>
      <w:r w:rsidR="00D64245" w:rsidRPr="00607BFB">
        <w:rPr>
          <w:rFonts w:cstheme="minorHAnsi"/>
          <w:sz w:val="28"/>
          <w:szCs w:val="28"/>
        </w:rPr>
        <w:t>tors and measures:</w:t>
      </w:r>
      <w:r w:rsidR="00007358" w:rsidRPr="00607BFB">
        <w:rPr>
          <w:rFonts w:cstheme="minorHAnsi"/>
          <w:sz w:val="28"/>
          <w:szCs w:val="28"/>
        </w:rPr>
        <w:t xml:space="preserve"> </w:t>
      </w:r>
    </w:p>
    <w:p w14:paraId="2E07B851" w14:textId="5BF1F4B0" w:rsidR="002909C6" w:rsidRPr="00607BFB" w:rsidRDefault="002909C6" w:rsidP="00007358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Strategic alignment and integration across system</w:t>
      </w:r>
    </w:p>
    <w:p w14:paraId="7936D363" w14:textId="6C44E75D" w:rsidR="002909C6" w:rsidRPr="00607BFB" w:rsidRDefault="002909C6" w:rsidP="00007358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Whole pathway commissioning – workforce transformation linked to peoples’ needs, population mapping and changing contexts</w:t>
      </w:r>
    </w:p>
    <w:p w14:paraId="4758869C" w14:textId="77777777" w:rsidR="002909C6" w:rsidRPr="00607BFB" w:rsidRDefault="002909C6" w:rsidP="00007358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Co-production in service design, reviewing and measuring what matters</w:t>
      </w:r>
    </w:p>
    <w:p w14:paraId="2A30DC13" w14:textId="77777777" w:rsidR="002909C6" w:rsidRPr="00607BFB" w:rsidRDefault="002909C6" w:rsidP="00007358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Systems leadership and leadership at every level for effective workplace cultures</w:t>
      </w:r>
    </w:p>
    <w:p w14:paraId="3F066F11" w14:textId="4F03C01D" w:rsidR="00007358" w:rsidRPr="00607BFB" w:rsidRDefault="002909C6" w:rsidP="0047109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System wide learning &amp; improving support and governance</w:t>
      </w:r>
    </w:p>
    <w:p w14:paraId="030876EB" w14:textId="6BE743B2" w:rsidR="0047109C" w:rsidRPr="00607BFB" w:rsidRDefault="002909C6" w:rsidP="00A83FC5">
      <w:pPr>
        <w:spacing w:line="240" w:lineRule="auto"/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Both the recent </w:t>
      </w:r>
      <w:r w:rsidR="0047109C" w:rsidRPr="00607BFB">
        <w:rPr>
          <w:rFonts w:cstheme="minorHAnsi"/>
          <w:sz w:val="28"/>
          <w:szCs w:val="28"/>
        </w:rPr>
        <w:t>publication</w:t>
      </w:r>
      <w:r w:rsidRPr="00607BFB">
        <w:rPr>
          <w:rFonts w:cstheme="minorHAnsi"/>
          <w:sz w:val="28"/>
          <w:szCs w:val="28"/>
        </w:rPr>
        <w:t xml:space="preserve"> and eye</w:t>
      </w:r>
      <w:r w:rsidR="00D64245" w:rsidRPr="00607BFB">
        <w:rPr>
          <w:rFonts w:cstheme="minorHAnsi"/>
          <w:sz w:val="28"/>
          <w:szCs w:val="28"/>
        </w:rPr>
        <w:t>care</w:t>
      </w:r>
      <w:r w:rsidRPr="00607BFB">
        <w:rPr>
          <w:rFonts w:cstheme="minorHAnsi"/>
          <w:sz w:val="28"/>
          <w:szCs w:val="28"/>
        </w:rPr>
        <w:t xml:space="preserve"> </w:t>
      </w:r>
      <w:r w:rsidR="001A6184" w:rsidRPr="00607BFB">
        <w:rPr>
          <w:rFonts w:cstheme="minorHAnsi"/>
          <w:sz w:val="28"/>
          <w:szCs w:val="28"/>
        </w:rPr>
        <w:t xml:space="preserve">project endorse the importance of these themes when </w:t>
      </w:r>
      <w:r w:rsidR="0047109C" w:rsidRPr="00607BFB">
        <w:rPr>
          <w:rFonts w:cstheme="minorHAnsi"/>
          <w:sz w:val="28"/>
          <w:szCs w:val="28"/>
        </w:rPr>
        <w:t>transforming</w:t>
      </w:r>
      <w:r w:rsidR="001A6184" w:rsidRPr="00607BFB">
        <w:rPr>
          <w:rFonts w:cstheme="minorHAnsi"/>
          <w:sz w:val="28"/>
          <w:szCs w:val="28"/>
        </w:rPr>
        <w:t xml:space="preserve"> systems and workforce to</w:t>
      </w:r>
      <w:r w:rsidR="0047109C" w:rsidRPr="00607BFB">
        <w:rPr>
          <w:rFonts w:cstheme="minorHAnsi"/>
          <w:sz w:val="28"/>
          <w:szCs w:val="28"/>
        </w:rPr>
        <w:t xml:space="preserve"> </w:t>
      </w:r>
      <w:r w:rsidR="001A6184" w:rsidRPr="00607BFB">
        <w:rPr>
          <w:rFonts w:cstheme="minorHAnsi"/>
          <w:sz w:val="28"/>
          <w:szCs w:val="28"/>
        </w:rPr>
        <w:t>provide people centred health and care. System and workforce transformation are integrated</w:t>
      </w:r>
      <w:r w:rsidR="0047109C" w:rsidRPr="00607BFB">
        <w:rPr>
          <w:rFonts w:cstheme="minorHAnsi"/>
          <w:sz w:val="28"/>
          <w:szCs w:val="28"/>
        </w:rPr>
        <w:t xml:space="preserve"> but</w:t>
      </w:r>
      <w:r w:rsidR="001A6184" w:rsidRPr="00607BFB">
        <w:rPr>
          <w:rFonts w:cstheme="minorHAnsi"/>
          <w:sz w:val="28"/>
          <w:szCs w:val="28"/>
        </w:rPr>
        <w:t xml:space="preserve"> the crucial </w:t>
      </w:r>
      <w:r w:rsidR="0047109C" w:rsidRPr="00607BFB">
        <w:rPr>
          <w:rFonts w:cstheme="minorHAnsi"/>
          <w:sz w:val="28"/>
          <w:szCs w:val="28"/>
        </w:rPr>
        <w:t>success</w:t>
      </w:r>
      <w:r w:rsidR="001A6184" w:rsidRPr="00607BFB">
        <w:rPr>
          <w:rFonts w:cstheme="minorHAnsi"/>
          <w:sz w:val="28"/>
          <w:szCs w:val="28"/>
        </w:rPr>
        <w:t xml:space="preserve"> </w:t>
      </w:r>
      <w:r w:rsidR="00D64245" w:rsidRPr="00607BFB">
        <w:rPr>
          <w:rFonts w:cstheme="minorHAnsi"/>
          <w:sz w:val="28"/>
          <w:szCs w:val="28"/>
        </w:rPr>
        <w:t>factor</w:t>
      </w:r>
      <w:r w:rsidR="001A6184" w:rsidRPr="00607BFB">
        <w:rPr>
          <w:rFonts w:cstheme="minorHAnsi"/>
          <w:sz w:val="28"/>
          <w:szCs w:val="28"/>
        </w:rPr>
        <w:t xml:space="preserve"> is the role of expert credible multi professional systems leaders</w:t>
      </w:r>
      <w:r w:rsidR="0047109C" w:rsidRPr="00607BFB">
        <w:rPr>
          <w:rFonts w:cstheme="minorHAnsi"/>
          <w:sz w:val="28"/>
          <w:szCs w:val="28"/>
        </w:rPr>
        <w:t>.</w:t>
      </w:r>
      <w:r w:rsidR="001A6184" w:rsidRPr="00607BFB">
        <w:rPr>
          <w:rFonts w:cstheme="minorHAnsi"/>
          <w:sz w:val="28"/>
          <w:szCs w:val="28"/>
        </w:rPr>
        <w:t xml:space="preserve"> </w:t>
      </w:r>
      <w:r w:rsidR="0047109C" w:rsidRPr="00607BFB">
        <w:rPr>
          <w:rFonts w:cstheme="minorHAnsi"/>
          <w:sz w:val="28"/>
          <w:szCs w:val="28"/>
        </w:rPr>
        <w:t>The urgency for</w:t>
      </w:r>
      <w:r w:rsidR="00D64245" w:rsidRPr="00607BFB">
        <w:rPr>
          <w:rFonts w:cstheme="minorHAnsi"/>
          <w:sz w:val="28"/>
          <w:szCs w:val="28"/>
        </w:rPr>
        <w:t xml:space="preserve"> supporting </w:t>
      </w:r>
      <w:r w:rsidR="0047109C" w:rsidRPr="00607BFB">
        <w:rPr>
          <w:rFonts w:cstheme="minorHAnsi"/>
          <w:sz w:val="28"/>
          <w:szCs w:val="28"/>
        </w:rPr>
        <w:t>develop</w:t>
      </w:r>
      <w:r w:rsidR="00D64245" w:rsidRPr="00607BFB">
        <w:rPr>
          <w:rFonts w:cstheme="minorHAnsi"/>
          <w:sz w:val="28"/>
          <w:szCs w:val="28"/>
        </w:rPr>
        <w:t>ment of</w:t>
      </w:r>
      <w:r w:rsidR="0047109C" w:rsidRPr="00607BFB">
        <w:rPr>
          <w:rFonts w:cstheme="minorHAnsi"/>
          <w:sz w:val="28"/>
          <w:szCs w:val="28"/>
        </w:rPr>
        <w:t xml:space="preserve"> these</w:t>
      </w:r>
      <w:r w:rsidR="00995A45" w:rsidRPr="00607BFB">
        <w:rPr>
          <w:rFonts w:cstheme="minorHAnsi"/>
          <w:sz w:val="28"/>
          <w:szCs w:val="28"/>
        </w:rPr>
        <w:t xml:space="preserve"> roles</w:t>
      </w:r>
      <w:r w:rsidR="0047109C" w:rsidRPr="00607BFB">
        <w:rPr>
          <w:rFonts w:cstheme="minorHAnsi"/>
          <w:sz w:val="28"/>
          <w:szCs w:val="28"/>
        </w:rPr>
        <w:t xml:space="preserve"> is currently being taken forward nationally by Health </w:t>
      </w:r>
      <w:r w:rsidR="00995A45" w:rsidRPr="00607BFB">
        <w:rPr>
          <w:rFonts w:cstheme="minorHAnsi"/>
          <w:sz w:val="28"/>
          <w:szCs w:val="28"/>
        </w:rPr>
        <w:t>E</w:t>
      </w:r>
      <w:r w:rsidR="0047109C" w:rsidRPr="00607BFB">
        <w:rPr>
          <w:rFonts w:cstheme="minorHAnsi"/>
          <w:sz w:val="28"/>
          <w:szCs w:val="28"/>
        </w:rPr>
        <w:t xml:space="preserve">ducation England with priority care groups being people with learning disabilities and autistic people; people with cancer and people with </w:t>
      </w:r>
      <w:r w:rsidR="00995A45" w:rsidRPr="00607BFB">
        <w:rPr>
          <w:rFonts w:cstheme="minorHAnsi"/>
          <w:sz w:val="28"/>
          <w:szCs w:val="28"/>
        </w:rPr>
        <w:t>muscular</w:t>
      </w:r>
      <w:r w:rsidR="0047109C" w:rsidRPr="00607BFB">
        <w:rPr>
          <w:rFonts w:cstheme="minorHAnsi"/>
          <w:sz w:val="28"/>
          <w:szCs w:val="28"/>
        </w:rPr>
        <w:t xml:space="preserve">-skeletal conditions. I am optimistic </w:t>
      </w:r>
      <w:r w:rsidR="00995A45" w:rsidRPr="00607BFB">
        <w:rPr>
          <w:rFonts w:cstheme="minorHAnsi"/>
          <w:sz w:val="28"/>
          <w:szCs w:val="28"/>
        </w:rPr>
        <w:t>that</w:t>
      </w:r>
      <w:r w:rsidR="0047109C" w:rsidRPr="00607BFB">
        <w:rPr>
          <w:rFonts w:cstheme="minorHAnsi"/>
          <w:sz w:val="28"/>
          <w:szCs w:val="28"/>
        </w:rPr>
        <w:t xml:space="preserve"> these posts </w:t>
      </w:r>
      <w:r w:rsidR="00995A45" w:rsidRPr="00607BFB">
        <w:rPr>
          <w:rFonts w:cstheme="minorHAnsi"/>
          <w:sz w:val="28"/>
          <w:szCs w:val="28"/>
        </w:rPr>
        <w:t xml:space="preserve">can make a difference, but only </w:t>
      </w:r>
      <w:r w:rsidR="00D64245" w:rsidRPr="00607BFB">
        <w:rPr>
          <w:rFonts w:cstheme="minorHAnsi"/>
          <w:sz w:val="28"/>
          <w:szCs w:val="28"/>
        </w:rPr>
        <w:t>with timely</w:t>
      </w:r>
      <w:r w:rsidR="0047109C" w:rsidRPr="00607BFB">
        <w:rPr>
          <w:rFonts w:cstheme="minorHAnsi"/>
          <w:sz w:val="28"/>
          <w:szCs w:val="28"/>
        </w:rPr>
        <w:t xml:space="preserve"> support</w:t>
      </w:r>
      <w:r w:rsidR="00D64245" w:rsidRPr="00607BFB">
        <w:rPr>
          <w:rFonts w:cstheme="minorHAnsi"/>
          <w:sz w:val="28"/>
          <w:szCs w:val="28"/>
        </w:rPr>
        <w:t xml:space="preserve"> from</w:t>
      </w:r>
      <w:r w:rsidR="0047109C" w:rsidRPr="00607BFB">
        <w:rPr>
          <w:rFonts w:cstheme="minorHAnsi"/>
          <w:sz w:val="28"/>
          <w:szCs w:val="28"/>
        </w:rPr>
        <w:t xml:space="preserve"> </w:t>
      </w:r>
      <w:proofErr w:type="spellStart"/>
      <w:r w:rsidR="0047109C" w:rsidRPr="00607BFB">
        <w:rPr>
          <w:rFonts w:cstheme="minorHAnsi"/>
          <w:sz w:val="28"/>
          <w:szCs w:val="28"/>
        </w:rPr>
        <w:t>ICs’s</w:t>
      </w:r>
      <w:proofErr w:type="spellEnd"/>
      <w:r w:rsidR="00995A45" w:rsidRPr="00607BFB">
        <w:rPr>
          <w:rFonts w:cstheme="minorHAnsi"/>
          <w:sz w:val="28"/>
          <w:szCs w:val="28"/>
        </w:rPr>
        <w:t xml:space="preserve">. </w:t>
      </w:r>
      <w:r w:rsidR="0047109C" w:rsidRPr="00607BFB">
        <w:rPr>
          <w:rFonts w:cstheme="minorHAnsi"/>
          <w:sz w:val="28"/>
          <w:szCs w:val="28"/>
        </w:rPr>
        <w:t xml:space="preserve"> Hopefully it will be soon enough to</w:t>
      </w:r>
      <w:r w:rsidR="00740F71" w:rsidRPr="00607BFB">
        <w:rPr>
          <w:rFonts w:cstheme="minorHAnsi"/>
          <w:sz w:val="28"/>
          <w:szCs w:val="28"/>
        </w:rPr>
        <w:t xml:space="preserve"> reverse</w:t>
      </w:r>
      <w:r w:rsidR="0047109C" w:rsidRPr="00607BFB">
        <w:rPr>
          <w:rFonts w:cstheme="minorHAnsi"/>
          <w:sz w:val="28"/>
          <w:szCs w:val="28"/>
        </w:rPr>
        <w:t xml:space="preserve"> the workforce drain </w:t>
      </w:r>
      <w:r w:rsidR="00995A45" w:rsidRPr="00607BFB">
        <w:rPr>
          <w:rFonts w:cstheme="minorHAnsi"/>
          <w:sz w:val="28"/>
          <w:szCs w:val="28"/>
        </w:rPr>
        <w:t>so</w:t>
      </w:r>
      <w:r w:rsidR="0047109C" w:rsidRPr="00607BFB">
        <w:rPr>
          <w:rFonts w:cstheme="minorHAnsi"/>
          <w:sz w:val="28"/>
          <w:szCs w:val="28"/>
        </w:rPr>
        <w:t xml:space="preserve"> pivotal </w:t>
      </w:r>
      <w:r w:rsidR="00995A45" w:rsidRPr="00607BFB">
        <w:rPr>
          <w:rFonts w:cstheme="minorHAnsi"/>
          <w:sz w:val="28"/>
          <w:szCs w:val="28"/>
        </w:rPr>
        <w:t>to</w:t>
      </w:r>
      <w:r w:rsidR="0047109C" w:rsidRPr="00607BFB">
        <w:rPr>
          <w:rFonts w:cstheme="minorHAnsi"/>
          <w:sz w:val="28"/>
          <w:szCs w:val="28"/>
        </w:rPr>
        <w:t xml:space="preserve"> transform</w:t>
      </w:r>
      <w:r w:rsidR="00740F71" w:rsidRPr="00607BFB">
        <w:rPr>
          <w:rFonts w:cstheme="minorHAnsi"/>
          <w:sz w:val="28"/>
          <w:szCs w:val="28"/>
        </w:rPr>
        <w:t>ing health and care sustainably</w:t>
      </w:r>
      <w:r w:rsidR="00995A45" w:rsidRPr="00607BFB">
        <w:rPr>
          <w:rFonts w:cstheme="minorHAnsi"/>
          <w:sz w:val="28"/>
          <w:szCs w:val="28"/>
        </w:rPr>
        <w:t>.</w:t>
      </w:r>
      <w:r w:rsidR="0047109C" w:rsidRPr="00607BFB">
        <w:rPr>
          <w:rFonts w:cstheme="minorHAnsi"/>
          <w:sz w:val="28"/>
          <w:szCs w:val="28"/>
        </w:rPr>
        <w:t xml:space="preserve"> </w:t>
      </w:r>
    </w:p>
    <w:p w14:paraId="4472AEBB" w14:textId="77777777" w:rsidR="0047109C" w:rsidRPr="00607BFB" w:rsidRDefault="0047109C" w:rsidP="00A83FC5">
      <w:pPr>
        <w:spacing w:line="240" w:lineRule="auto"/>
        <w:rPr>
          <w:rFonts w:cstheme="minorHAnsi"/>
          <w:sz w:val="28"/>
          <w:szCs w:val="28"/>
        </w:rPr>
      </w:pPr>
    </w:p>
    <w:p w14:paraId="41866B5C" w14:textId="5CD17B2E" w:rsidR="002909C6" w:rsidRPr="00607BFB" w:rsidRDefault="002909C6" w:rsidP="00A83FC5">
      <w:pPr>
        <w:spacing w:line="240" w:lineRule="auto"/>
        <w:rPr>
          <w:rFonts w:cstheme="minorHAnsi"/>
          <w:sz w:val="28"/>
          <w:szCs w:val="28"/>
        </w:rPr>
      </w:pPr>
    </w:p>
    <w:p w14:paraId="61B8032A" w14:textId="483CB2ED" w:rsidR="00537837" w:rsidRPr="00607BFB" w:rsidRDefault="002909C6" w:rsidP="00A83FC5">
      <w:pPr>
        <w:spacing w:line="240" w:lineRule="auto"/>
        <w:rPr>
          <w:rFonts w:cstheme="minorHAnsi"/>
          <w:b/>
          <w:bCs/>
          <w:sz w:val="28"/>
          <w:szCs w:val="28"/>
        </w:rPr>
      </w:pPr>
      <w:r w:rsidRPr="00607BFB">
        <w:rPr>
          <w:rFonts w:cstheme="minorHAnsi"/>
          <w:b/>
          <w:bCs/>
          <w:sz w:val="28"/>
          <w:szCs w:val="28"/>
        </w:rPr>
        <w:t>References</w:t>
      </w:r>
    </w:p>
    <w:p w14:paraId="104E64F0" w14:textId="142A7257" w:rsidR="005E6C1F" w:rsidRPr="00607BFB" w:rsidRDefault="005E6C1F" w:rsidP="00A83FC5">
      <w:pPr>
        <w:pStyle w:val="ListParagraph"/>
        <w:numPr>
          <w:ilvl w:val="0"/>
          <w:numId w:val="3"/>
        </w:numPr>
        <w:shd w:val="clear" w:color="auto" w:fill="DCDAD7"/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607BFB">
        <w:rPr>
          <w:rFonts w:eastAsia="Times New Roman" w:cstheme="minorHAnsi"/>
          <w:sz w:val="28"/>
          <w:szCs w:val="28"/>
          <w:lang w:eastAsia="en-GB"/>
        </w:rPr>
        <w:t>Department of Health and Social Care. </w:t>
      </w:r>
      <w:r w:rsidRPr="00607BFB">
        <w:rPr>
          <w:rFonts w:eastAsia="Times New Roman" w:cstheme="minorHAnsi"/>
          <w:i/>
          <w:iCs/>
          <w:sz w:val="28"/>
          <w:szCs w:val="28"/>
          <w:lang w:eastAsia="en-GB"/>
        </w:rPr>
        <w:t>Health and social care integration: joining up care for people, places and populations. Department of Health and Social Care</w:t>
      </w:r>
      <w:r w:rsidRPr="00607BFB">
        <w:rPr>
          <w:rFonts w:eastAsia="Times New Roman" w:cstheme="minorHAnsi"/>
          <w:sz w:val="28"/>
          <w:szCs w:val="28"/>
          <w:lang w:eastAsia="en-GB"/>
        </w:rPr>
        <w:t>; 2022 (</w:t>
      </w:r>
      <w:hyperlink r:id="rId6" w:history="1">
        <w:r w:rsidRPr="00607BFB">
          <w:rPr>
            <w:rFonts w:eastAsia="Times New Roman" w:cstheme="minorHAnsi"/>
            <w:sz w:val="28"/>
            <w:szCs w:val="28"/>
            <w:lang w:eastAsia="en-GB"/>
          </w:rPr>
          <w:t>www.gov.uk/government/publications/health-and-social-care-integration-joining-up-care-for-people-places-and-populations/health-and-social-care-integration-joining-up-care-for-people-places-and-populations</w:t>
        </w:r>
      </w:hyperlink>
      <w:r w:rsidRPr="00607BFB">
        <w:rPr>
          <w:rFonts w:eastAsia="Times New Roman" w:cstheme="minorHAnsi"/>
          <w:sz w:val="28"/>
          <w:szCs w:val="28"/>
          <w:lang w:eastAsia="en-GB"/>
        </w:rPr>
        <w:t>).</w:t>
      </w:r>
    </w:p>
    <w:p w14:paraId="09C0D255" w14:textId="77777777" w:rsidR="00A83FC5" w:rsidRPr="00607BFB" w:rsidRDefault="007114CD" w:rsidP="00A83FC5">
      <w:pPr>
        <w:pStyle w:val="ListParagraph"/>
        <w:numPr>
          <w:ilvl w:val="0"/>
          <w:numId w:val="3"/>
        </w:numPr>
        <w:spacing w:line="240" w:lineRule="auto"/>
        <w:outlineLvl w:val="0"/>
        <w:rPr>
          <w:rStyle w:val="Hyperlink"/>
          <w:rFonts w:cstheme="minorHAnsi"/>
          <w:bCs/>
          <w:color w:val="1C1D1E"/>
          <w:kern w:val="36"/>
          <w:sz w:val="28"/>
          <w:szCs w:val="28"/>
          <w:u w:val="none"/>
        </w:rPr>
      </w:pPr>
      <w:r w:rsidRPr="00607BFB">
        <w:rPr>
          <w:rFonts w:cstheme="minorHAnsi"/>
          <w:bCs/>
          <w:color w:val="1C1D1E"/>
          <w:kern w:val="36"/>
          <w:sz w:val="28"/>
          <w:szCs w:val="28"/>
        </w:rPr>
        <w:t xml:space="preserve">Manley, K. &amp; Jackson C. (2020) The Venus model for integrating practitioner‐led workforce transformation and complex change across the health care system.  </w:t>
      </w:r>
      <w:bookmarkStart w:id="0" w:name="_Hlk127267979"/>
      <w:r w:rsidRPr="00607BFB">
        <w:rPr>
          <w:rFonts w:cstheme="minorHAnsi"/>
          <w:bCs/>
          <w:i/>
          <w:iCs/>
          <w:color w:val="1C1D1E"/>
          <w:kern w:val="36"/>
          <w:sz w:val="28"/>
          <w:szCs w:val="28"/>
        </w:rPr>
        <w:t xml:space="preserve">Journal of Evaluation in Clinical Practice- </w:t>
      </w:r>
      <w:r w:rsidRPr="00607BFB">
        <w:rPr>
          <w:rFonts w:cstheme="minorHAnsi"/>
          <w:bCs/>
          <w:i/>
          <w:iCs/>
          <w:color w:val="1C1D1E"/>
          <w:kern w:val="36"/>
          <w:sz w:val="28"/>
          <w:szCs w:val="28"/>
        </w:rPr>
        <w:lastRenderedPageBreak/>
        <w:t>International Journal of Public Health Policy and Health Services Research</w:t>
      </w:r>
      <w:r w:rsidRPr="00607BFB">
        <w:rPr>
          <w:rFonts w:cstheme="minorHAnsi"/>
          <w:bCs/>
          <w:color w:val="1C1D1E"/>
          <w:kern w:val="36"/>
          <w:sz w:val="28"/>
          <w:szCs w:val="28"/>
        </w:rPr>
        <w:t xml:space="preserve">, 20 January, </w:t>
      </w:r>
      <w:hyperlink r:id="rId7" w:history="1">
        <w:r w:rsidRPr="00607BFB">
          <w:rPr>
            <w:rStyle w:val="Hyperlink"/>
            <w:rFonts w:cstheme="minorHAnsi"/>
            <w:bCs/>
            <w:kern w:val="36"/>
            <w:sz w:val="28"/>
            <w:szCs w:val="28"/>
          </w:rPr>
          <w:t>https://doi.org/10.1111/jep.13377</w:t>
        </w:r>
      </w:hyperlink>
      <w:bookmarkEnd w:id="0"/>
    </w:p>
    <w:p w14:paraId="450D23CF" w14:textId="22F0C4F6" w:rsidR="007114CD" w:rsidRPr="00607BFB" w:rsidRDefault="007114CD" w:rsidP="00A83FC5">
      <w:pPr>
        <w:pStyle w:val="ListParagraph"/>
        <w:numPr>
          <w:ilvl w:val="0"/>
          <w:numId w:val="3"/>
        </w:numPr>
        <w:spacing w:line="240" w:lineRule="auto"/>
        <w:outlineLvl w:val="0"/>
        <w:rPr>
          <w:rFonts w:cstheme="minorHAnsi"/>
          <w:bCs/>
          <w:color w:val="1C1D1E"/>
          <w:kern w:val="36"/>
          <w:sz w:val="28"/>
          <w:szCs w:val="28"/>
        </w:rPr>
      </w:pPr>
      <w:r w:rsidRPr="00607BFB">
        <w:rPr>
          <w:rFonts w:cstheme="minorHAnsi"/>
          <w:color w:val="000000"/>
          <w:sz w:val="28"/>
          <w:szCs w:val="28"/>
        </w:rPr>
        <w:t xml:space="preserve">Manley K., Crouch R., Ward R., </w:t>
      </w:r>
      <w:proofErr w:type="spellStart"/>
      <w:r w:rsidRPr="00607BFB">
        <w:rPr>
          <w:rFonts w:cstheme="minorHAnsi"/>
          <w:color w:val="000000"/>
          <w:sz w:val="28"/>
          <w:szCs w:val="28"/>
        </w:rPr>
        <w:t>Clif</w:t>
      </w:r>
      <w:proofErr w:type="spellEnd"/>
      <w:r w:rsidRPr="00607BF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07BFB">
        <w:rPr>
          <w:rFonts w:cstheme="minorHAnsi"/>
          <w:color w:val="000000"/>
          <w:sz w:val="28"/>
          <w:szCs w:val="28"/>
        </w:rPr>
        <w:t>tE</w:t>
      </w:r>
      <w:proofErr w:type="spellEnd"/>
      <w:r w:rsidRPr="00607BFB">
        <w:rPr>
          <w:rFonts w:cstheme="minorHAnsi"/>
          <w:color w:val="000000"/>
          <w:sz w:val="28"/>
          <w:szCs w:val="28"/>
        </w:rPr>
        <w:t xml:space="preserve">., Jackson C., </w:t>
      </w:r>
      <w:proofErr w:type="spellStart"/>
      <w:r w:rsidRPr="00607BFB">
        <w:rPr>
          <w:rFonts w:cstheme="minorHAnsi"/>
          <w:color w:val="000000"/>
          <w:sz w:val="28"/>
          <w:szCs w:val="28"/>
        </w:rPr>
        <w:t>ChristienJ</w:t>
      </w:r>
      <w:proofErr w:type="spellEnd"/>
      <w:r w:rsidRPr="00607BFB">
        <w:rPr>
          <w:rFonts w:cstheme="minorHAnsi"/>
          <w:color w:val="000000"/>
          <w:sz w:val="28"/>
          <w:szCs w:val="28"/>
        </w:rPr>
        <w:t>., Williams H., &amp; Harden B. (2022). The role of the multi-professional consultant practitioner in supporting workforce transformation in the UK. </w:t>
      </w:r>
      <w:r w:rsidRPr="00607BFB">
        <w:rPr>
          <w:rFonts w:cstheme="minorHAnsi"/>
          <w:i/>
          <w:iCs/>
          <w:color w:val="000000"/>
          <w:sz w:val="28"/>
          <w:szCs w:val="28"/>
        </w:rPr>
        <w:t>Advanced Journal of Professional Practice</w:t>
      </w:r>
      <w:r w:rsidRPr="00607BFB">
        <w:rPr>
          <w:rFonts w:cstheme="minorHAnsi"/>
          <w:sz w:val="28"/>
          <w:szCs w:val="28"/>
        </w:rPr>
        <w:t>, </w:t>
      </w:r>
      <w:r w:rsidRPr="00607BFB">
        <w:rPr>
          <w:rFonts w:cstheme="minorHAnsi"/>
          <w:i/>
          <w:iCs/>
          <w:sz w:val="28"/>
          <w:szCs w:val="28"/>
        </w:rPr>
        <w:t>3</w:t>
      </w:r>
      <w:r w:rsidRPr="00607BFB">
        <w:rPr>
          <w:rFonts w:cstheme="minorHAnsi"/>
          <w:sz w:val="28"/>
          <w:szCs w:val="28"/>
        </w:rPr>
        <w:t xml:space="preserve">(2), 1 - 26. </w:t>
      </w:r>
      <w:hyperlink r:id="rId8" w:history="1">
        <w:r w:rsidRPr="00607BFB">
          <w:rPr>
            <w:rStyle w:val="Hyperlink"/>
            <w:rFonts w:cstheme="minorHAnsi"/>
            <w:sz w:val="28"/>
            <w:szCs w:val="28"/>
          </w:rPr>
          <w:t>https://doi.org/10.22024/UniKent/03/ajpp.1057</w:t>
        </w:r>
      </w:hyperlink>
    </w:p>
    <w:p w14:paraId="6EC67183" w14:textId="30D3A2B1" w:rsidR="00A83FC5" w:rsidRPr="00607BFB" w:rsidRDefault="00A83FC5" w:rsidP="00A83FC5">
      <w:pPr>
        <w:pStyle w:val="ListParagraph"/>
        <w:numPr>
          <w:ilvl w:val="0"/>
          <w:numId w:val="3"/>
        </w:numPr>
        <w:overflowPunct w:val="0"/>
        <w:adjustRightInd w:val="0"/>
        <w:spacing w:line="240" w:lineRule="auto"/>
        <w:textAlignment w:val="baseline"/>
        <w:rPr>
          <w:rFonts w:cstheme="minorHAnsi"/>
          <w:sz w:val="28"/>
          <w:szCs w:val="28"/>
        </w:rPr>
      </w:pPr>
      <w:r w:rsidRPr="00607BFB">
        <w:rPr>
          <w:rFonts w:cstheme="minorHAnsi"/>
          <w:bCs/>
          <w:sz w:val="28"/>
          <w:szCs w:val="28"/>
        </w:rPr>
        <w:t>Manley, K;</w:t>
      </w:r>
      <w:r w:rsidRPr="00607BFB">
        <w:rPr>
          <w:rFonts w:cstheme="minorHAnsi"/>
          <w:sz w:val="28"/>
          <w:szCs w:val="28"/>
        </w:rPr>
        <w:t xml:space="preserve"> Martin, A; Jackson, C; </w:t>
      </w:r>
      <w:proofErr w:type="gramStart"/>
      <w:r w:rsidRPr="00607BFB">
        <w:rPr>
          <w:rFonts w:cstheme="minorHAnsi"/>
          <w:sz w:val="28"/>
          <w:szCs w:val="28"/>
        </w:rPr>
        <w:t>Wright ,</w:t>
      </w:r>
      <w:proofErr w:type="gramEnd"/>
      <w:r w:rsidRPr="00607BFB">
        <w:rPr>
          <w:rFonts w:cstheme="minorHAnsi"/>
          <w:sz w:val="28"/>
          <w:szCs w:val="28"/>
        </w:rPr>
        <w:t xml:space="preserve"> T</w:t>
      </w:r>
      <w:r w:rsidRPr="00607BFB">
        <w:rPr>
          <w:rFonts w:cstheme="minorHAnsi"/>
          <w:i/>
          <w:sz w:val="28"/>
          <w:szCs w:val="28"/>
        </w:rPr>
        <w:t xml:space="preserve">. </w:t>
      </w:r>
      <w:r w:rsidRPr="00607BFB">
        <w:rPr>
          <w:rFonts w:cstheme="minorHAnsi"/>
          <w:sz w:val="28"/>
          <w:szCs w:val="28"/>
        </w:rPr>
        <w:t>(2016)</w:t>
      </w:r>
      <w:r w:rsidRPr="00607BFB">
        <w:rPr>
          <w:rFonts w:cstheme="minorHAnsi"/>
          <w:i/>
          <w:sz w:val="28"/>
          <w:szCs w:val="28"/>
        </w:rPr>
        <w:t xml:space="preserve"> </w:t>
      </w:r>
      <w:r w:rsidRPr="00607BFB">
        <w:rPr>
          <w:rFonts w:cstheme="minorHAnsi"/>
          <w:sz w:val="28"/>
          <w:szCs w:val="28"/>
        </w:rPr>
        <w:t xml:space="preserve"> Using Systems Thinking to identify workforce enablers for a whole systems approach to urgent and emergency care delivery: A multiple case study</w:t>
      </w:r>
      <w:r w:rsidRPr="00607BFB">
        <w:rPr>
          <w:rFonts w:cstheme="minorHAnsi"/>
          <w:i/>
          <w:sz w:val="28"/>
          <w:szCs w:val="28"/>
        </w:rPr>
        <w:t xml:space="preserve"> BMC Health Services Research</w:t>
      </w:r>
      <w:r w:rsidRPr="00607BFB">
        <w:rPr>
          <w:rFonts w:cstheme="minorHAnsi"/>
          <w:b/>
          <w:sz w:val="28"/>
          <w:szCs w:val="28"/>
        </w:rPr>
        <w:t xml:space="preserve"> </w:t>
      </w:r>
      <w:r w:rsidRPr="00607BFB">
        <w:rPr>
          <w:rFonts w:cstheme="minorHAnsi"/>
          <w:b/>
          <w:bCs/>
          <w:color w:val="333333"/>
          <w:sz w:val="28"/>
          <w:szCs w:val="28"/>
        </w:rPr>
        <w:t>16</w:t>
      </w:r>
      <w:r w:rsidRPr="00607BFB">
        <w:rPr>
          <w:rFonts w:cstheme="minorHAnsi"/>
          <w:color w:val="333333"/>
          <w:sz w:val="28"/>
          <w:szCs w:val="28"/>
        </w:rPr>
        <w:t xml:space="preserve">:368  </w:t>
      </w:r>
      <w:bookmarkStart w:id="1" w:name="_Hlk47513416"/>
      <w:r w:rsidRPr="00607BFB">
        <w:rPr>
          <w:rFonts w:cstheme="minorHAnsi"/>
          <w:sz w:val="28"/>
          <w:szCs w:val="28"/>
        </w:rPr>
        <w:fldChar w:fldCharType="begin"/>
      </w:r>
      <w:r w:rsidRPr="00607BFB">
        <w:rPr>
          <w:rFonts w:cstheme="minorHAnsi"/>
          <w:sz w:val="28"/>
          <w:szCs w:val="28"/>
        </w:rPr>
        <w:instrText xml:space="preserve"> HYPERLINK "https://doi.org/10.1186/s12913-016-1616-y" </w:instrText>
      </w:r>
      <w:r w:rsidRPr="00607BFB">
        <w:rPr>
          <w:rFonts w:cstheme="minorHAnsi"/>
          <w:sz w:val="28"/>
          <w:szCs w:val="28"/>
        </w:rPr>
      </w:r>
      <w:r w:rsidRPr="00607BFB">
        <w:rPr>
          <w:rFonts w:cstheme="minorHAnsi"/>
          <w:sz w:val="28"/>
          <w:szCs w:val="28"/>
        </w:rPr>
        <w:fldChar w:fldCharType="separate"/>
      </w:r>
      <w:r w:rsidRPr="00607BFB">
        <w:rPr>
          <w:rFonts w:cstheme="minorHAnsi"/>
          <w:color w:val="0067C5"/>
          <w:sz w:val="28"/>
          <w:szCs w:val="28"/>
          <w:u w:val="single"/>
        </w:rPr>
        <w:t>https://doi.org/10.1186/s12913-016-1616-y</w:t>
      </w:r>
      <w:r w:rsidRPr="00607BFB">
        <w:rPr>
          <w:rFonts w:cstheme="minorHAnsi"/>
          <w:color w:val="0067C5"/>
          <w:sz w:val="28"/>
          <w:szCs w:val="28"/>
          <w:u w:val="single"/>
        </w:rPr>
        <w:fldChar w:fldCharType="end"/>
      </w:r>
      <w:bookmarkEnd w:id="1"/>
    </w:p>
    <w:p w14:paraId="69131A30" w14:textId="421538DE" w:rsidR="00007358" w:rsidRPr="00607BFB" w:rsidRDefault="00007358" w:rsidP="00A83FC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Style w:val="Hyperlink"/>
          <w:rFonts w:cstheme="minorHAnsi"/>
          <w:color w:val="474747"/>
          <w:sz w:val="28"/>
          <w:szCs w:val="28"/>
          <w:u w:val="none"/>
        </w:rPr>
      </w:pPr>
      <w:r w:rsidRPr="00607BFB">
        <w:rPr>
          <w:rFonts w:cstheme="minorHAnsi"/>
          <w:color w:val="474747"/>
          <w:sz w:val="28"/>
          <w:szCs w:val="28"/>
        </w:rPr>
        <w:t>Germaine, R.; Manley, K, Stillman, K and Nicholls, PJ (2022) Growing the interprofessional workforce for integrated people-centred care through developing place-based learning cultures across the system</w:t>
      </w:r>
      <w:r w:rsidRPr="00607BFB">
        <w:rPr>
          <w:rFonts w:cstheme="minorHAnsi"/>
          <w:sz w:val="28"/>
          <w:szCs w:val="28"/>
        </w:rPr>
        <w:t xml:space="preserve"> </w:t>
      </w:r>
      <w:r w:rsidRPr="00607BFB">
        <w:rPr>
          <w:rFonts w:cstheme="minorHAnsi"/>
          <w:i/>
          <w:iCs/>
          <w:color w:val="474747"/>
          <w:sz w:val="28"/>
          <w:szCs w:val="28"/>
        </w:rPr>
        <w:t>International Practice Development Journal</w:t>
      </w:r>
      <w:r w:rsidRPr="00607BFB">
        <w:rPr>
          <w:rFonts w:cstheme="minorHAnsi"/>
          <w:color w:val="474747"/>
          <w:sz w:val="28"/>
          <w:szCs w:val="28"/>
        </w:rPr>
        <w:t xml:space="preserve"> Volume 12, Issue 1, Article 4</w:t>
      </w:r>
      <w:r w:rsidRPr="00607BFB">
        <w:rPr>
          <w:rFonts w:cstheme="minorHAnsi"/>
          <w:sz w:val="28"/>
          <w:szCs w:val="28"/>
        </w:rPr>
        <w:t xml:space="preserve"> </w:t>
      </w:r>
      <w:r w:rsidRPr="00607BFB">
        <w:rPr>
          <w:rFonts w:cstheme="minorHAnsi"/>
          <w:color w:val="474747"/>
          <w:sz w:val="28"/>
          <w:szCs w:val="28"/>
        </w:rPr>
        <w:t xml:space="preserve">May </w:t>
      </w:r>
      <w:hyperlink r:id="rId9" w:history="1">
        <w:r w:rsidRPr="00607BFB">
          <w:rPr>
            <w:rStyle w:val="Hyperlink"/>
            <w:rFonts w:cstheme="minorHAnsi"/>
            <w:sz w:val="28"/>
            <w:szCs w:val="28"/>
          </w:rPr>
          <w:t>https://doi.org/10.19043/ipdj.121.004</w:t>
        </w:r>
      </w:hyperlink>
    </w:p>
    <w:p w14:paraId="43336AF3" w14:textId="3CF95432" w:rsidR="00A83FC5" w:rsidRPr="00607BFB" w:rsidRDefault="00A83FC5" w:rsidP="00A83FC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cstheme="minorHAnsi"/>
          <w:b/>
          <w:bCs/>
          <w:color w:val="474747"/>
          <w:sz w:val="28"/>
          <w:szCs w:val="28"/>
        </w:rPr>
      </w:pPr>
      <w:r w:rsidRPr="00607BFB">
        <w:rPr>
          <w:rFonts w:cstheme="minorHAnsi"/>
          <w:b/>
          <w:bCs/>
          <w:color w:val="474747"/>
          <w:sz w:val="28"/>
          <w:szCs w:val="28"/>
        </w:rPr>
        <w:t>Embedded research</w:t>
      </w:r>
    </w:p>
    <w:p w14:paraId="73E0D6AF" w14:textId="77777777" w:rsidR="00A83FC5" w:rsidRPr="00607BFB" w:rsidRDefault="00A83FC5" w:rsidP="00A83FC5">
      <w:pPr>
        <w:pStyle w:val="ListParagraph"/>
        <w:numPr>
          <w:ilvl w:val="0"/>
          <w:numId w:val="3"/>
        </w:numPr>
        <w:spacing w:after="0" w:line="240" w:lineRule="auto"/>
        <w:rPr>
          <w:rFonts w:eastAsia="+mn-ea" w:cstheme="minorHAnsi"/>
          <w:kern w:val="24"/>
          <w:sz w:val="28"/>
          <w:szCs w:val="28"/>
          <w:u w:val="single"/>
          <w:lang w:val="en-US" w:eastAsia="en-GB"/>
        </w:rPr>
      </w:pPr>
      <w:bookmarkStart w:id="2" w:name="_Hlk127870724"/>
      <w:r w:rsidRPr="00607BFB">
        <w:rPr>
          <w:rFonts w:cstheme="minorHAnsi"/>
          <w:sz w:val="28"/>
          <w:szCs w:val="28"/>
        </w:rPr>
        <w:t>Health Education England (HEE) (2020) Multi-professional consultant practice capability and impact framework</w:t>
      </w:r>
      <w:r w:rsidRPr="00607BFB">
        <w:rPr>
          <w:rFonts w:cstheme="minorHAnsi"/>
          <w:b/>
          <w:bCs/>
          <w:sz w:val="28"/>
          <w:szCs w:val="28"/>
        </w:rPr>
        <w:t xml:space="preserve">  </w:t>
      </w:r>
      <w:hyperlink r:id="rId10" w:history="1">
        <w:r w:rsidRPr="00607BFB">
          <w:rPr>
            <w:rStyle w:val="Hyperlink"/>
            <w:rFonts w:eastAsia="+mn-ea" w:cstheme="minorHAnsi"/>
            <w:color w:val="auto"/>
            <w:kern w:val="24"/>
            <w:sz w:val="28"/>
            <w:szCs w:val="28"/>
            <w:lang w:val="en-US" w:eastAsia="en-GB"/>
          </w:rPr>
          <w:t>https://www.hee.nhs.uk/sites/default/files/documents/Sept%202020%20HEE%20Consultant%20Practice%20Capability%20and%20Impact%20Framework.pdf</w:t>
        </w:r>
      </w:hyperlink>
      <w:r w:rsidRPr="00607BFB">
        <w:rPr>
          <w:rFonts w:eastAsia="+mn-ea" w:cstheme="minorHAnsi"/>
          <w:kern w:val="24"/>
          <w:sz w:val="28"/>
          <w:szCs w:val="28"/>
          <w:u w:val="single"/>
          <w:lang w:val="en-US" w:eastAsia="en-GB"/>
        </w:rPr>
        <w:t xml:space="preserve"> </w:t>
      </w:r>
    </w:p>
    <w:p w14:paraId="24ED8485" w14:textId="57F2A388" w:rsidR="001A6184" w:rsidRPr="00607BFB" w:rsidRDefault="002909C6" w:rsidP="00A83FC5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Manley K, Saunders K, Wilkinson D, </w:t>
      </w:r>
      <w:proofErr w:type="spellStart"/>
      <w:r w:rsidRPr="00607BFB">
        <w:rPr>
          <w:rFonts w:cstheme="minorHAnsi"/>
          <w:sz w:val="28"/>
          <w:szCs w:val="28"/>
        </w:rPr>
        <w:t>Faruqui</w:t>
      </w:r>
      <w:proofErr w:type="spellEnd"/>
      <w:r w:rsidRPr="00607BFB">
        <w:rPr>
          <w:rFonts w:cstheme="minorHAnsi"/>
          <w:sz w:val="28"/>
          <w:szCs w:val="28"/>
        </w:rPr>
        <w:t xml:space="preserve"> R, </w:t>
      </w:r>
      <w:proofErr w:type="spellStart"/>
      <w:r w:rsidRPr="00607BFB">
        <w:rPr>
          <w:rFonts w:cstheme="minorHAnsi"/>
          <w:sz w:val="28"/>
          <w:szCs w:val="28"/>
        </w:rPr>
        <w:t>Sakel</w:t>
      </w:r>
      <w:proofErr w:type="spellEnd"/>
      <w:r w:rsidRPr="00607BFB">
        <w:rPr>
          <w:rFonts w:cstheme="minorHAnsi"/>
          <w:sz w:val="28"/>
          <w:szCs w:val="28"/>
        </w:rPr>
        <w:t xml:space="preserve"> M. (2023) Co‐creating system‐wide improvement for people with traumatic brain injury across one integrated care system in the United Kingdom to initiate a transformation journey through co‐production. Health Expect. 2023;1‐13. </w:t>
      </w:r>
      <w:hyperlink r:id="rId11" w:history="1">
        <w:r w:rsidR="001A6184" w:rsidRPr="00607BFB">
          <w:rPr>
            <w:rStyle w:val="Hyperlink"/>
            <w:rFonts w:cstheme="minorHAnsi"/>
            <w:sz w:val="28"/>
            <w:szCs w:val="28"/>
          </w:rPr>
          <w:t>https://doi.org/10.1111/hex.13712</w:t>
        </w:r>
      </w:hyperlink>
      <w:bookmarkStart w:id="3" w:name="_Hlk129258440"/>
      <w:bookmarkEnd w:id="2"/>
    </w:p>
    <w:p w14:paraId="346A7BF7" w14:textId="1C7619D0" w:rsidR="001A6184" w:rsidRPr="00607BFB" w:rsidRDefault="001A6184" w:rsidP="00A83FC5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 xml:space="preserve">Manley K and Jackson C (2022) East of England Eyecare Workforce Transformation through increasing capacity and capability, integrating advancing practice initiatives and the Ophthalmic Practitioner Training programme (OPT) Phase 1: Final Report. </w:t>
      </w:r>
      <w:proofErr w:type="spellStart"/>
      <w:r w:rsidRPr="00607BFB">
        <w:rPr>
          <w:rFonts w:cstheme="minorHAnsi"/>
          <w:sz w:val="28"/>
          <w:szCs w:val="28"/>
        </w:rPr>
        <w:t>ImpACT</w:t>
      </w:r>
      <w:proofErr w:type="spellEnd"/>
      <w:r w:rsidRPr="00607BFB">
        <w:rPr>
          <w:rFonts w:cstheme="minorHAnsi"/>
          <w:sz w:val="28"/>
          <w:szCs w:val="28"/>
        </w:rPr>
        <w:t xml:space="preserve"> Research Group, School of Health Sciences. University of East Anglia Unpublished 26th October 2022</w:t>
      </w:r>
    </w:p>
    <w:bookmarkEnd w:id="3"/>
    <w:p w14:paraId="21F5C30C" w14:textId="086FDE30" w:rsidR="00A83FC5" w:rsidRPr="00607BFB" w:rsidRDefault="00A83FC5" w:rsidP="00A83FC5">
      <w:pPr>
        <w:pStyle w:val="ListParagraph"/>
        <w:numPr>
          <w:ilvl w:val="0"/>
          <w:numId w:val="3"/>
        </w:numPr>
        <w:tabs>
          <w:tab w:val="left" w:pos="2340"/>
        </w:tabs>
        <w:spacing w:line="240" w:lineRule="auto"/>
        <w:jc w:val="both"/>
        <w:rPr>
          <w:rFonts w:cstheme="minorHAnsi"/>
          <w:sz w:val="28"/>
          <w:szCs w:val="28"/>
        </w:rPr>
      </w:pPr>
      <w:r w:rsidRPr="00607BFB">
        <w:rPr>
          <w:rFonts w:cstheme="minorHAnsi"/>
          <w:bCs/>
          <w:sz w:val="28"/>
          <w:szCs w:val="28"/>
        </w:rPr>
        <w:t>Manley,</w:t>
      </w:r>
      <w:r w:rsidRPr="00607BFB">
        <w:rPr>
          <w:rFonts w:cstheme="minorHAnsi"/>
          <w:sz w:val="28"/>
          <w:szCs w:val="28"/>
        </w:rPr>
        <w:t xml:space="preserve"> K., Crisp, J., Moss, C. (2011) Advancing the practice development outcomes agenda within multiple contexts. </w:t>
      </w:r>
      <w:r w:rsidRPr="00607BFB">
        <w:rPr>
          <w:rFonts w:cstheme="minorHAnsi"/>
          <w:i/>
          <w:sz w:val="28"/>
          <w:szCs w:val="28"/>
        </w:rPr>
        <w:t xml:space="preserve">International Practice Development Journal. </w:t>
      </w:r>
      <w:r w:rsidRPr="00607BFB">
        <w:rPr>
          <w:rFonts w:cstheme="minorHAnsi"/>
          <w:sz w:val="28"/>
          <w:szCs w:val="28"/>
        </w:rPr>
        <w:t xml:space="preserve">Vol. 1. No. 1. Article 4. </w:t>
      </w:r>
    </w:p>
    <w:p w14:paraId="46AB8AC3" w14:textId="0DC2C5FF" w:rsidR="00A83FC5" w:rsidRPr="00607BFB" w:rsidRDefault="00A83FC5" w:rsidP="00A83FC5">
      <w:pPr>
        <w:pStyle w:val="ListParagraph"/>
        <w:tabs>
          <w:tab w:val="left" w:pos="2340"/>
        </w:tabs>
        <w:spacing w:line="240" w:lineRule="auto"/>
        <w:jc w:val="both"/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https://www.fons.org/Resources/Documents/Journal/Vol1No1/IPDJ_0101_04.pdf</w:t>
      </w:r>
    </w:p>
    <w:p w14:paraId="7D5D517A" w14:textId="102110C6" w:rsidR="00A83FC5" w:rsidRPr="00607BFB" w:rsidRDefault="00A83FC5" w:rsidP="00A83FC5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color w:val="000000"/>
          <w:sz w:val="28"/>
          <w:szCs w:val="28"/>
        </w:rPr>
      </w:pPr>
      <w:bookmarkStart w:id="4" w:name="_Hlk69902850"/>
      <w:r w:rsidRPr="00607BFB">
        <w:rPr>
          <w:rFonts w:cstheme="minorHAnsi"/>
          <w:sz w:val="28"/>
          <w:szCs w:val="28"/>
        </w:rPr>
        <w:t xml:space="preserve">Cardiff, S; Sanders, K; Webster, J; Manley, K (2020) </w:t>
      </w:r>
      <w:r w:rsidRPr="00607BFB">
        <w:rPr>
          <w:rFonts w:cstheme="minorHAnsi"/>
          <w:color w:val="000000"/>
          <w:sz w:val="28"/>
          <w:szCs w:val="28"/>
        </w:rPr>
        <w:t xml:space="preserve">Guiding lights for effective workplace cultures that are also good places to work. </w:t>
      </w:r>
      <w:r w:rsidRPr="00607BFB">
        <w:rPr>
          <w:rFonts w:cstheme="minorHAnsi"/>
          <w:sz w:val="28"/>
          <w:szCs w:val="28"/>
        </w:rPr>
        <w:lastRenderedPageBreak/>
        <w:t xml:space="preserve">International Practice Development Journal, November  </w:t>
      </w:r>
      <w:hyperlink r:id="rId12" w:history="1">
        <w:r w:rsidRPr="00607BFB">
          <w:rPr>
            <w:rStyle w:val="Hyperlink"/>
            <w:rFonts w:cstheme="minorHAnsi"/>
            <w:sz w:val="28"/>
            <w:szCs w:val="28"/>
          </w:rPr>
          <w:t>https://www.fons.org/library/journal/volume10-issue2/article2v2</w:t>
        </w:r>
      </w:hyperlink>
    </w:p>
    <w:bookmarkEnd w:id="4"/>
    <w:p w14:paraId="5945A5FB" w14:textId="77777777" w:rsidR="00A83FC5" w:rsidRPr="00607BFB" w:rsidRDefault="00A83FC5" w:rsidP="00A83FC5">
      <w:pPr>
        <w:pStyle w:val="ListParagraph"/>
        <w:numPr>
          <w:ilvl w:val="0"/>
          <w:numId w:val="3"/>
        </w:numPr>
        <w:spacing w:before="200" w:line="240" w:lineRule="auto"/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fldChar w:fldCharType="begin"/>
      </w:r>
      <w:r w:rsidRPr="00607BFB">
        <w:rPr>
          <w:rFonts w:cstheme="minorHAnsi"/>
          <w:sz w:val="28"/>
          <w:szCs w:val="28"/>
        </w:rPr>
        <w:instrText xml:space="preserve"> HYPERLINK "https://www.emerald.com/insight/search?q=Carolyn%20Jackson" </w:instrText>
      </w:r>
      <w:r w:rsidRPr="00607BFB">
        <w:rPr>
          <w:rFonts w:cstheme="minorHAnsi"/>
          <w:sz w:val="28"/>
          <w:szCs w:val="28"/>
        </w:rPr>
      </w:r>
      <w:r w:rsidRPr="00607BFB">
        <w:rPr>
          <w:rFonts w:cstheme="minorHAnsi"/>
          <w:sz w:val="28"/>
          <w:szCs w:val="28"/>
        </w:rPr>
        <w:fldChar w:fldCharType="separate"/>
      </w:r>
      <w:r w:rsidRPr="00607BFB">
        <w:rPr>
          <w:rFonts w:cstheme="minorHAnsi"/>
          <w:color w:val="000000"/>
          <w:kern w:val="24"/>
          <w:sz w:val="28"/>
          <w:szCs w:val="28"/>
          <w:u w:val="single"/>
        </w:rPr>
        <w:t>Jackson, C.</w:t>
      </w:r>
      <w:r w:rsidRPr="00607BFB">
        <w:rPr>
          <w:rFonts w:cstheme="minorHAnsi"/>
          <w:color w:val="000000"/>
          <w:kern w:val="24"/>
          <w:sz w:val="28"/>
          <w:szCs w:val="28"/>
          <w:u w:val="single"/>
        </w:rPr>
        <w:fldChar w:fldCharType="end"/>
      </w:r>
      <w:r w:rsidRPr="00607BFB">
        <w:rPr>
          <w:rFonts w:cstheme="minorHAnsi"/>
          <w:color w:val="000000"/>
          <w:kern w:val="24"/>
          <w:sz w:val="28"/>
          <w:szCs w:val="28"/>
        </w:rPr>
        <w:t>, </w:t>
      </w:r>
      <w:hyperlink r:id="rId13" w:history="1">
        <w:r w:rsidRPr="00607BFB">
          <w:rPr>
            <w:rFonts w:cstheme="minorHAnsi"/>
            <w:color w:val="000000"/>
            <w:kern w:val="24"/>
            <w:sz w:val="28"/>
            <w:szCs w:val="28"/>
            <w:u w:val="single"/>
          </w:rPr>
          <w:t>McBride, T.</w:t>
        </w:r>
      </w:hyperlink>
      <w:r w:rsidRPr="00607BFB">
        <w:rPr>
          <w:rFonts w:cstheme="minorHAnsi"/>
          <w:color w:val="000000"/>
          <w:kern w:val="24"/>
          <w:sz w:val="28"/>
          <w:szCs w:val="28"/>
        </w:rPr>
        <w:t>, </w:t>
      </w:r>
      <w:hyperlink r:id="rId14" w:history="1">
        <w:r w:rsidRPr="00607BFB">
          <w:rPr>
            <w:rFonts w:cstheme="minorHAnsi"/>
            <w:color w:val="000000"/>
            <w:kern w:val="24"/>
            <w:sz w:val="28"/>
            <w:szCs w:val="28"/>
            <w:u w:val="single"/>
          </w:rPr>
          <w:t>Manley, K.</w:t>
        </w:r>
      </w:hyperlink>
      <w:r w:rsidRPr="00607BFB">
        <w:rPr>
          <w:rFonts w:cstheme="minorHAnsi"/>
          <w:color w:val="000000"/>
          <w:kern w:val="24"/>
          <w:sz w:val="28"/>
          <w:szCs w:val="28"/>
        </w:rPr>
        <w:t>, </w:t>
      </w:r>
      <w:hyperlink r:id="rId15" w:history="1">
        <w:r w:rsidRPr="00607BFB">
          <w:rPr>
            <w:rFonts w:cstheme="minorHAnsi"/>
            <w:color w:val="000000"/>
            <w:kern w:val="24"/>
            <w:sz w:val="28"/>
            <w:szCs w:val="28"/>
            <w:u w:val="single"/>
          </w:rPr>
          <w:t>Dewar, B.</w:t>
        </w:r>
      </w:hyperlink>
      <w:r w:rsidRPr="00607BFB">
        <w:rPr>
          <w:rFonts w:cstheme="minorHAnsi"/>
          <w:color w:val="000000"/>
          <w:kern w:val="24"/>
          <w:sz w:val="28"/>
          <w:szCs w:val="28"/>
        </w:rPr>
        <w:t>, </w:t>
      </w:r>
      <w:hyperlink r:id="rId16" w:history="1">
        <w:r w:rsidRPr="00607BFB">
          <w:rPr>
            <w:rFonts w:cstheme="minorHAnsi"/>
            <w:color w:val="000000"/>
            <w:kern w:val="24"/>
            <w:sz w:val="28"/>
            <w:szCs w:val="28"/>
            <w:u w:val="single"/>
          </w:rPr>
          <w:t>Young, B.</w:t>
        </w:r>
      </w:hyperlink>
      <w:r w:rsidRPr="00607BFB">
        <w:rPr>
          <w:rFonts w:cstheme="minorHAnsi"/>
          <w:color w:val="000000"/>
          <w:kern w:val="24"/>
          <w:sz w:val="28"/>
          <w:szCs w:val="28"/>
        </w:rPr>
        <w:t>, </w:t>
      </w:r>
      <w:hyperlink r:id="rId17" w:history="1">
        <w:r w:rsidRPr="00607BFB">
          <w:rPr>
            <w:rFonts w:cstheme="minorHAnsi"/>
            <w:color w:val="000000"/>
            <w:kern w:val="24"/>
            <w:sz w:val="28"/>
            <w:szCs w:val="28"/>
            <w:u w:val="single"/>
          </w:rPr>
          <w:t>Ryan, A.</w:t>
        </w:r>
      </w:hyperlink>
      <w:r w:rsidRPr="00607BFB">
        <w:rPr>
          <w:rFonts w:cstheme="minorHAnsi"/>
          <w:color w:val="000000"/>
          <w:kern w:val="24"/>
          <w:sz w:val="28"/>
          <w:szCs w:val="28"/>
        </w:rPr>
        <w:t> and </w:t>
      </w:r>
      <w:hyperlink r:id="rId18" w:history="1">
        <w:r w:rsidRPr="00607BFB">
          <w:rPr>
            <w:rFonts w:cstheme="minorHAnsi"/>
            <w:color w:val="000000"/>
            <w:kern w:val="24"/>
            <w:sz w:val="28"/>
            <w:szCs w:val="28"/>
            <w:u w:val="single"/>
          </w:rPr>
          <w:t>Roberts, D.</w:t>
        </w:r>
      </w:hyperlink>
      <w:r w:rsidRPr="00607BFB">
        <w:rPr>
          <w:rFonts w:cstheme="minorHAnsi"/>
          <w:color w:val="000000"/>
          <w:kern w:val="24"/>
          <w:sz w:val="28"/>
          <w:szCs w:val="28"/>
        </w:rPr>
        <w:t> (2021), "Strengthening nursing, midwifery and allied health professional leadership in the UK – a realist evaluation", </w:t>
      </w:r>
      <w:hyperlink r:id="rId19" w:history="1">
        <w:r w:rsidRPr="00607BFB">
          <w:rPr>
            <w:rFonts w:cstheme="minorHAnsi"/>
            <w:i/>
            <w:iCs/>
            <w:color w:val="000000"/>
            <w:kern w:val="24"/>
            <w:sz w:val="28"/>
            <w:szCs w:val="28"/>
            <w:u w:val="single"/>
          </w:rPr>
          <w:t>Leadership in Health Services</w:t>
        </w:r>
      </w:hyperlink>
      <w:r w:rsidRPr="00607BFB">
        <w:rPr>
          <w:rFonts w:cstheme="minorHAnsi"/>
          <w:color w:val="000000"/>
          <w:kern w:val="24"/>
          <w:sz w:val="28"/>
          <w:szCs w:val="28"/>
        </w:rPr>
        <w:t>, Vol. 34 No. 4, pp. 392-453. </w:t>
      </w:r>
      <w:hyperlink r:id="rId20" w:history="1">
        <w:r w:rsidRPr="00607BFB">
          <w:rPr>
            <w:rFonts w:cstheme="minorHAnsi"/>
            <w:color w:val="000000"/>
            <w:kern w:val="24"/>
            <w:sz w:val="28"/>
            <w:szCs w:val="28"/>
            <w:u w:val="single"/>
          </w:rPr>
          <w:t>https://doi.org/10.1108/</w:t>
        </w:r>
      </w:hyperlink>
      <w:hyperlink r:id="rId21" w:history="1">
        <w:r w:rsidRPr="00607BFB">
          <w:rPr>
            <w:rFonts w:cstheme="minorHAnsi"/>
            <w:color w:val="000000"/>
            <w:kern w:val="24"/>
            <w:sz w:val="28"/>
            <w:szCs w:val="28"/>
            <w:u w:val="single"/>
          </w:rPr>
          <w:t>LHS-11-2020-0097</w:t>
        </w:r>
      </w:hyperlink>
      <w:bookmarkStart w:id="5" w:name="_Hlk69899405"/>
      <w:bookmarkStart w:id="6" w:name="_Hlk69899691"/>
    </w:p>
    <w:p w14:paraId="3D0ABDAA" w14:textId="11789054" w:rsidR="00A83FC5" w:rsidRPr="00607BFB" w:rsidRDefault="00A83FC5" w:rsidP="00A83FC5">
      <w:pPr>
        <w:pStyle w:val="ListParagraph"/>
        <w:numPr>
          <w:ilvl w:val="0"/>
          <w:numId w:val="3"/>
        </w:numPr>
        <w:spacing w:before="200" w:line="240" w:lineRule="auto"/>
        <w:rPr>
          <w:rFonts w:cstheme="minorHAnsi"/>
          <w:sz w:val="28"/>
          <w:szCs w:val="28"/>
        </w:rPr>
      </w:pPr>
      <w:r w:rsidRPr="00607BFB">
        <w:rPr>
          <w:rFonts w:cstheme="minorHAnsi"/>
          <w:sz w:val="28"/>
          <w:szCs w:val="28"/>
        </w:rPr>
        <w:t>Manley K</w:t>
      </w:r>
      <w:r w:rsidRPr="00607BFB">
        <w:rPr>
          <w:rFonts w:cstheme="minorHAnsi"/>
          <w:b/>
          <w:bCs/>
          <w:sz w:val="28"/>
          <w:szCs w:val="28"/>
        </w:rPr>
        <w:t xml:space="preserve">; </w:t>
      </w:r>
      <w:r w:rsidRPr="00607BFB">
        <w:rPr>
          <w:rFonts w:cstheme="minorHAnsi"/>
          <w:sz w:val="28"/>
          <w:szCs w:val="28"/>
        </w:rPr>
        <w:t xml:space="preserve">Wilson, V; </w:t>
      </w:r>
      <w:proofErr w:type="spellStart"/>
      <w:r w:rsidRPr="00607BFB">
        <w:rPr>
          <w:rFonts w:cstheme="minorHAnsi"/>
          <w:sz w:val="28"/>
          <w:szCs w:val="28"/>
        </w:rPr>
        <w:t>Oye</w:t>
      </w:r>
      <w:proofErr w:type="spellEnd"/>
      <w:r w:rsidRPr="00607BFB">
        <w:rPr>
          <w:rFonts w:cstheme="minorHAnsi"/>
          <w:sz w:val="28"/>
          <w:szCs w:val="28"/>
        </w:rPr>
        <w:t xml:space="preserve"> Christine (2021) International practice Development in Health and Social Care. Wiley, Chichester</w:t>
      </w:r>
      <w:r w:rsidRPr="00607BFB">
        <w:rPr>
          <w:rFonts w:cstheme="minorHAnsi"/>
          <w:b/>
          <w:bCs/>
          <w:sz w:val="28"/>
          <w:szCs w:val="28"/>
        </w:rPr>
        <w:t xml:space="preserve"> </w:t>
      </w:r>
      <w:r w:rsidRPr="00607BFB">
        <w:rPr>
          <w:rFonts w:cstheme="minorHAnsi"/>
          <w:sz w:val="28"/>
          <w:szCs w:val="28"/>
        </w:rPr>
        <w:t>I</w:t>
      </w:r>
      <w:r w:rsidRPr="00607BFB">
        <w:rPr>
          <w:rFonts w:cstheme="minorHAnsi"/>
          <w:color w:val="1D2626"/>
          <w:sz w:val="28"/>
          <w:szCs w:val="28"/>
          <w:shd w:val="clear" w:color="auto" w:fill="FFFFFF"/>
        </w:rPr>
        <w:t>SBN: 978-1-119-69835-7</w:t>
      </w:r>
      <w:r w:rsidRPr="00607BFB">
        <w:rPr>
          <w:rFonts w:cstheme="minorHAnsi"/>
          <w:b/>
          <w:bCs/>
          <w:sz w:val="28"/>
          <w:szCs w:val="28"/>
        </w:rPr>
        <w:t xml:space="preserve">   </w:t>
      </w:r>
      <w:bookmarkEnd w:id="5"/>
      <w:bookmarkEnd w:id="6"/>
    </w:p>
    <w:p w14:paraId="1D5E1B3A" w14:textId="275BE9FA" w:rsidR="005E6C1F" w:rsidRPr="00607BFB" w:rsidRDefault="005E6C1F" w:rsidP="00A83FC5">
      <w:pPr>
        <w:pStyle w:val="ListParagraph"/>
        <w:numPr>
          <w:ilvl w:val="0"/>
          <w:numId w:val="3"/>
        </w:numPr>
        <w:spacing w:after="0" w:line="240" w:lineRule="auto"/>
        <w:rPr>
          <w:rFonts w:eastAsia="+mn-ea" w:cstheme="minorHAnsi"/>
          <w:kern w:val="24"/>
          <w:sz w:val="28"/>
          <w:szCs w:val="28"/>
          <w:u w:val="single"/>
          <w:lang w:val="en-US" w:eastAsia="en-GB"/>
        </w:rPr>
      </w:pPr>
      <w:r w:rsidRPr="00607BFB">
        <w:rPr>
          <w:rFonts w:cstheme="minorHAnsi"/>
          <w:sz w:val="28"/>
          <w:szCs w:val="28"/>
        </w:rPr>
        <w:t xml:space="preserve">Manley, K; Jackson, C., Webster J., Hardy S. (2023) </w:t>
      </w:r>
      <w:r w:rsidR="00A83FC5" w:rsidRPr="00607BFB">
        <w:rPr>
          <w:rFonts w:cstheme="minorHAnsi"/>
          <w:sz w:val="28"/>
          <w:szCs w:val="28"/>
        </w:rPr>
        <w:t>A Preliminary</w:t>
      </w:r>
      <w:r w:rsidRPr="00607BFB">
        <w:rPr>
          <w:rFonts w:cstheme="minorHAnsi"/>
          <w:sz w:val="28"/>
          <w:szCs w:val="28"/>
        </w:rPr>
        <w:t xml:space="preserve"> Impact Framework for Integrated System Transformation across East of England Region</w:t>
      </w:r>
      <w:r w:rsidR="00A83FC5" w:rsidRPr="00607BFB">
        <w:rPr>
          <w:rFonts w:cstheme="minorHAnsi"/>
          <w:sz w:val="28"/>
          <w:szCs w:val="28"/>
        </w:rPr>
        <w:t>,</w:t>
      </w:r>
      <w:r w:rsidRPr="00607BFB">
        <w:rPr>
          <w:rFonts w:cstheme="minorHAnsi"/>
          <w:sz w:val="28"/>
          <w:szCs w:val="28"/>
        </w:rPr>
        <w:t xml:space="preserve"> </w:t>
      </w:r>
      <w:proofErr w:type="spellStart"/>
      <w:r w:rsidRPr="00607BFB">
        <w:rPr>
          <w:rFonts w:cstheme="minorHAnsi"/>
          <w:sz w:val="28"/>
          <w:szCs w:val="28"/>
        </w:rPr>
        <w:t>ImpACT</w:t>
      </w:r>
      <w:proofErr w:type="spellEnd"/>
      <w:r w:rsidRPr="00607BFB">
        <w:rPr>
          <w:rFonts w:cstheme="minorHAnsi"/>
          <w:sz w:val="28"/>
          <w:szCs w:val="28"/>
        </w:rPr>
        <w:t xml:space="preserve"> Research group, </w:t>
      </w:r>
      <w:proofErr w:type="gramStart"/>
      <w:r w:rsidRPr="00607BFB">
        <w:rPr>
          <w:rFonts w:cstheme="minorHAnsi"/>
          <w:sz w:val="28"/>
          <w:szCs w:val="28"/>
        </w:rPr>
        <w:t>UEA  March</w:t>
      </w:r>
      <w:proofErr w:type="gramEnd"/>
      <w:r w:rsidRPr="00607BFB">
        <w:rPr>
          <w:rFonts w:cstheme="minorHAnsi"/>
          <w:sz w:val="28"/>
          <w:szCs w:val="28"/>
        </w:rPr>
        <w:t xml:space="preserve"> Unpublished</w:t>
      </w:r>
    </w:p>
    <w:p w14:paraId="57E98401" w14:textId="77777777" w:rsidR="005E6C1F" w:rsidRPr="00607BFB" w:rsidRDefault="005E6C1F" w:rsidP="005E6C1F">
      <w:pPr>
        <w:spacing w:after="0" w:line="288" w:lineRule="auto"/>
        <w:ind w:left="360"/>
        <w:rPr>
          <w:rFonts w:eastAsia="+mn-ea" w:cstheme="minorHAnsi"/>
          <w:kern w:val="24"/>
          <w:sz w:val="28"/>
          <w:szCs w:val="28"/>
          <w:u w:val="single"/>
          <w:lang w:val="en-US" w:eastAsia="en-GB"/>
        </w:rPr>
      </w:pPr>
    </w:p>
    <w:p w14:paraId="7996CE09" w14:textId="77777777" w:rsidR="002909C6" w:rsidRPr="00607BFB" w:rsidRDefault="002909C6" w:rsidP="002909C6">
      <w:pPr>
        <w:shd w:val="clear" w:color="auto" w:fill="FFFFFF"/>
        <w:rPr>
          <w:rFonts w:cstheme="minorHAnsi"/>
          <w:color w:val="474747"/>
          <w:sz w:val="28"/>
          <w:szCs w:val="28"/>
        </w:rPr>
      </w:pPr>
    </w:p>
    <w:p w14:paraId="296B1600" w14:textId="77777777" w:rsidR="002909C6" w:rsidRPr="00607BFB" w:rsidRDefault="002909C6" w:rsidP="002909C6">
      <w:pPr>
        <w:rPr>
          <w:rFonts w:cstheme="minorHAnsi"/>
          <w:sz w:val="28"/>
          <w:szCs w:val="28"/>
        </w:rPr>
      </w:pPr>
    </w:p>
    <w:p w14:paraId="2B5B220F" w14:textId="77777777" w:rsidR="00537837" w:rsidRPr="00607BFB" w:rsidRDefault="00537837">
      <w:pPr>
        <w:rPr>
          <w:rFonts w:cstheme="minorHAnsi"/>
          <w:sz w:val="28"/>
          <w:szCs w:val="28"/>
        </w:rPr>
      </w:pPr>
    </w:p>
    <w:sectPr w:rsidR="00537837" w:rsidRPr="00607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+mn-ea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72C6"/>
    <w:multiLevelType w:val="hybridMultilevel"/>
    <w:tmpl w:val="F1DAE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640B"/>
    <w:multiLevelType w:val="hybridMultilevel"/>
    <w:tmpl w:val="32C88EC6"/>
    <w:lvl w:ilvl="0" w:tplc="E83CEF6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E508B"/>
    <w:multiLevelType w:val="hybridMultilevel"/>
    <w:tmpl w:val="45A4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46FD2"/>
    <w:multiLevelType w:val="hybridMultilevel"/>
    <w:tmpl w:val="7CAA2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74314"/>
    <w:multiLevelType w:val="hybridMultilevel"/>
    <w:tmpl w:val="1C7C3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1251A"/>
    <w:multiLevelType w:val="hybridMultilevel"/>
    <w:tmpl w:val="67361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833BF"/>
    <w:multiLevelType w:val="hybridMultilevel"/>
    <w:tmpl w:val="BCF2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73BD8"/>
    <w:multiLevelType w:val="hybridMultilevel"/>
    <w:tmpl w:val="01160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85077">
    <w:abstractNumId w:val="4"/>
  </w:num>
  <w:num w:numId="2" w16cid:durableId="1358848184">
    <w:abstractNumId w:val="7"/>
  </w:num>
  <w:num w:numId="3" w16cid:durableId="508640400">
    <w:abstractNumId w:val="5"/>
  </w:num>
  <w:num w:numId="4" w16cid:durableId="120654958">
    <w:abstractNumId w:val="0"/>
  </w:num>
  <w:num w:numId="5" w16cid:durableId="786195678">
    <w:abstractNumId w:val="2"/>
  </w:num>
  <w:num w:numId="6" w16cid:durableId="71709669">
    <w:abstractNumId w:val="3"/>
  </w:num>
  <w:num w:numId="7" w16cid:durableId="1809318980">
    <w:abstractNumId w:val="6"/>
  </w:num>
  <w:num w:numId="8" w16cid:durableId="937442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37"/>
    <w:rsid w:val="00007358"/>
    <w:rsid w:val="00021113"/>
    <w:rsid w:val="00074281"/>
    <w:rsid w:val="000C39D3"/>
    <w:rsid w:val="000C3EFC"/>
    <w:rsid w:val="000D2ADA"/>
    <w:rsid w:val="0011692C"/>
    <w:rsid w:val="00167066"/>
    <w:rsid w:val="0016768D"/>
    <w:rsid w:val="001A6184"/>
    <w:rsid w:val="00286839"/>
    <w:rsid w:val="002909C6"/>
    <w:rsid w:val="00293980"/>
    <w:rsid w:val="002E3F45"/>
    <w:rsid w:val="00313A54"/>
    <w:rsid w:val="0037436C"/>
    <w:rsid w:val="0038635B"/>
    <w:rsid w:val="00413B8D"/>
    <w:rsid w:val="00457A90"/>
    <w:rsid w:val="0047109C"/>
    <w:rsid w:val="00537837"/>
    <w:rsid w:val="00554216"/>
    <w:rsid w:val="0055531D"/>
    <w:rsid w:val="005C34F5"/>
    <w:rsid w:val="005E6C1F"/>
    <w:rsid w:val="00607BFB"/>
    <w:rsid w:val="006C2627"/>
    <w:rsid w:val="006C3854"/>
    <w:rsid w:val="006E43CF"/>
    <w:rsid w:val="00700D81"/>
    <w:rsid w:val="0070783C"/>
    <w:rsid w:val="007114CD"/>
    <w:rsid w:val="00740F71"/>
    <w:rsid w:val="00773A89"/>
    <w:rsid w:val="008355C3"/>
    <w:rsid w:val="008C2B66"/>
    <w:rsid w:val="008D6B6A"/>
    <w:rsid w:val="00995A45"/>
    <w:rsid w:val="009A3C73"/>
    <w:rsid w:val="009E23A9"/>
    <w:rsid w:val="00A83FC5"/>
    <w:rsid w:val="00B25656"/>
    <w:rsid w:val="00BA3BC8"/>
    <w:rsid w:val="00BD4556"/>
    <w:rsid w:val="00C5079F"/>
    <w:rsid w:val="00C8579D"/>
    <w:rsid w:val="00C960F4"/>
    <w:rsid w:val="00D30DA3"/>
    <w:rsid w:val="00D64245"/>
    <w:rsid w:val="00DF41DE"/>
    <w:rsid w:val="00E2367B"/>
    <w:rsid w:val="00E3568E"/>
    <w:rsid w:val="00E5794E"/>
    <w:rsid w:val="00E72302"/>
    <w:rsid w:val="00E75014"/>
    <w:rsid w:val="00EB35D9"/>
    <w:rsid w:val="00FD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0016"/>
  <w15:chartTrackingRefBased/>
  <w15:docId w15:val="{00C3E116-DFCF-40A6-AB39-C8D8199E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79F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C5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5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909C6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E23A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A61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1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024/UniKent/03/ajpp.1057" TargetMode="External"/><Relationship Id="rId13" Type="http://schemas.openxmlformats.org/officeDocument/2006/relationships/hyperlink" Target="https://www.emerald.com/insight/search?q=Tamsin%20McBride" TargetMode="External"/><Relationship Id="rId18" Type="http://schemas.openxmlformats.org/officeDocument/2006/relationships/hyperlink" Target="https://www.emerald.com/insight/search?q=Debbie%20Roberts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108/LHS-11-2020-0097" TargetMode="External"/><Relationship Id="rId7" Type="http://schemas.openxmlformats.org/officeDocument/2006/relationships/hyperlink" Target="https://doi.org/10.1111/jep.13377" TargetMode="External"/><Relationship Id="rId12" Type="http://schemas.openxmlformats.org/officeDocument/2006/relationships/hyperlink" Target="https://www.fons.org/library/journal/volume10-issue2/article2v2" TargetMode="External"/><Relationship Id="rId17" Type="http://schemas.openxmlformats.org/officeDocument/2006/relationships/hyperlink" Target="https://www.emerald.com/insight/search?q=Assumpta%20Rya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merald.com/insight/search?q=Beverley%20Young" TargetMode="External"/><Relationship Id="rId20" Type="http://schemas.openxmlformats.org/officeDocument/2006/relationships/hyperlink" Target="https://doi.org/10.1108/LHS-11-2020-009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v.uk/government/publications/health-and-social-care-integration-joining-up-care-for-people-places-and-populations/health-and-social-care-integration-joining-up-care-for-people-places-and-populations" TargetMode="External"/><Relationship Id="rId11" Type="http://schemas.openxmlformats.org/officeDocument/2006/relationships/hyperlink" Target="https://doi.org/10.1111/hex.137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merald.com/insight/search?q=Belinda%20Dewa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ee.nhs.uk/sites/default/files/documents/Sept%202020%20HEE%20Consultant%20Practice%20Capability%20and%20Impact%20Framework.pdf" TargetMode="External"/><Relationship Id="rId19" Type="http://schemas.openxmlformats.org/officeDocument/2006/relationships/hyperlink" Target="https://www.emerald.com/insight/publication/issn/1751-18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9043/ipdj.121.004" TargetMode="External"/><Relationship Id="rId14" Type="http://schemas.openxmlformats.org/officeDocument/2006/relationships/hyperlink" Target="https://www.emerald.com/insight/search?q=Kim%20Manle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AC7AE-C891-4899-AB0D-DBBD4DD7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2645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Angie Titchen</cp:lastModifiedBy>
  <cp:revision>4</cp:revision>
  <dcterms:created xsi:type="dcterms:W3CDTF">2023-03-18T12:33:00Z</dcterms:created>
  <dcterms:modified xsi:type="dcterms:W3CDTF">2023-03-19T16:13:00Z</dcterms:modified>
</cp:coreProperties>
</file>