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58BD6" w14:textId="323B9EDF" w:rsidR="001D223F" w:rsidRPr="00462181" w:rsidRDefault="0084329E" w:rsidP="001D223F">
      <w:pPr>
        <w:pStyle w:val="Heading4"/>
        <w:jc w:val="center"/>
        <w:rPr>
          <w:rFonts w:ascii="Calibri" w:hAnsi="Calibri" w:cs="Calibri"/>
          <w:b/>
          <w:bCs/>
          <w:i w:val="0"/>
          <w:iCs w:val="0"/>
          <w:color w:val="153D63" w:themeColor="text2" w:themeTint="E6"/>
          <w:sz w:val="22"/>
          <w:szCs w:val="22"/>
        </w:rPr>
      </w:pPr>
      <w:r w:rsidRPr="00462181">
        <w:rPr>
          <w:rFonts w:ascii="Calibri" w:hAnsi="Calibri" w:cs="Calibri"/>
          <w:b/>
          <w:bCs/>
          <w:i w:val="0"/>
          <w:iCs w:val="0"/>
          <w:color w:val="153D63" w:themeColor="text2" w:themeTint="E6"/>
          <w:sz w:val="28"/>
          <w:szCs w:val="28"/>
        </w:rPr>
        <w:t xml:space="preserve">STARTER </w:t>
      </w:r>
      <w:r w:rsidR="001D223F" w:rsidRPr="00462181">
        <w:rPr>
          <w:rFonts w:ascii="Calibri" w:hAnsi="Calibri" w:cs="Calibri"/>
          <w:b/>
          <w:bCs/>
          <w:i w:val="0"/>
          <w:iCs w:val="0"/>
          <w:color w:val="153D63" w:themeColor="text2" w:themeTint="E6"/>
          <w:sz w:val="28"/>
          <w:szCs w:val="28"/>
        </w:rPr>
        <w:t>REFERENCES</w:t>
      </w:r>
      <w:r w:rsidR="00567FD0" w:rsidRPr="00462181">
        <w:rPr>
          <w:rFonts w:ascii="Calibri" w:hAnsi="Calibri" w:cs="Calibri"/>
          <w:b/>
          <w:bCs/>
          <w:i w:val="0"/>
          <w:iCs w:val="0"/>
          <w:color w:val="153D63" w:themeColor="text2" w:themeTint="E6"/>
          <w:sz w:val="28"/>
          <w:szCs w:val="28"/>
        </w:rPr>
        <w:t xml:space="preserve">: </w:t>
      </w:r>
      <w:r w:rsidR="001D223F" w:rsidRPr="00462181">
        <w:rPr>
          <w:rFonts w:ascii="Calibri" w:hAnsi="Calibri" w:cs="Calibri"/>
          <w:b/>
          <w:bCs/>
          <w:i w:val="0"/>
          <w:iCs w:val="0"/>
          <w:color w:val="153D63" w:themeColor="text2" w:themeTint="E6"/>
          <w:sz w:val="28"/>
          <w:szCs w:val="28"/>
        </w:rPr>
        <w:t>S</w:t>
      </w:r>
      <w:r w:rsidRPr="00462181">
        <w:rPr>
          <w:rFonts w:ascii="Calibri" w:hAnsi="Calibri" w:cs="Calibri"/>
          <w:b/>
          <w:bCs/>
          <w:i w:val="0"/>
          <w:iCs w:val="0"/>
          <w:color w:val="153D63" w:themeColor="text2" w:themeTint="E6"/>
          <w:sz w:val="28"/>
          <w:szCs w:val="28"/>
        </w:rPr>
        <w:t xml:space="preserve">ETTING OUT ON </w:t>
      </w:r>
      <w:r w:rsidR="001D223F" w:rsidRPr="00462181">
        <w:rPr>
          <w:rFonts w:ascii="Calibri" w:hAnsi="Calibri" w:cs="Calibri"/>
          <w:b/>
          <w:bCs/>
          <w:i w:val="0"/>
          <w:iCs w:val="0"/>
          <w:color w:val="153D63" w:themeColor="text2" w:themeTint="E6"/>
          <w:sz w:val="28"/>
          <w:szCs w:val="28"/>
        </w:rPr>
        <w:t>THE JOURNEY TO CRITICAL COMPANIONSHIP</w:t>
      </w:r>
      <w:r w:rsidR="001D223F" w:rsidRPr="00462181">
        <w:rPr>
          <w:rFonts w:ascii="Calibri" w:hAnsi="Calibri" w:cs="Calibri"/>
          <w:b/>
          <w:bCs/>
          <w:i w:val="0"/>
          <w:iCs w:val="0"/>
          <w:color w:val="153D63" w:themeColor="text2" w:themeTint="E6"/>
          <w:sz w:val="22"/>
          <w:szCs w:val="22"/>
        </w:rPr>
        <w:t xml:space="preserve"> </w:t>
      </w:r>
      <w:r w:rsidR="00297075" w:rsidRPr="00462181">
        <w:rPr>
          <w:rFonts w:ascii="Calibri" w:hAnsi="Calibri" w:cs="Calibri"/>
          <w:b/>
          <w:bCs/>
          <w:i w:val="0"/>
          <w:iCs w:val="0"/>
          <w:color w:val="153D63" w:themeColor="text2" w:themeTint="E6"/>
          <w:sz w:val="22"/>
          <w:szCs w:val="22"/>
        </w:rPr>
        <w:t>(these are also in the MAIN REFERENCES)</w:t>
      </w:r>
    </w:p>
    <w:p w14:paraId="11CF2B44" w14:textId="77777777" w:rsidR="00567FD0" w:rsidRPr="00462181" w:rsidRDefault="00567FD0" w:rsidP="001D223F">
      <w:pPr>
        <w:pStyle w:val="Heading4"/>
        <w:rPr>
          <w:color w:val="153D63" w:themeColor="text2" w:themeTint="E6"/>
        </w:rPr>
      </w:pPr>
    </w:p>
    <w:p w14:paraId="76D2DBA6" w14:textId="0452EB7D" w:rsidR="001D223F" w:rsidRPr="00F72AA3" w:rsidRDefault="001D223F" w:rsidP="001D223F">
      <w:pPr>
        <w:pStyle w:val="Heading4"/>
        <w:rPr>
          <w:rFonts w:ascii="Calibri" w:hAnsi="Calibri" w:cs="Calibri"/>
          <w:color w:val="000000" w:themeColor="text1"/>
          <w:sz w:val="22"/>
          <w:szCs w:val="22"/>
        </w:rPr>
      </w:pPr>
      <w:r w:rsidRPr="001D223F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Titchen A</w:t>
      </w:r>
      <w:r w:rsidR="00567FD0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.</w:t>
      </w:r>
      <w:r w:rsidRPr="001D223F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 (2003) </w:t>
      </w:r>
      <w:hyperlink r:id="rId4" w:history="1">
        <w:r w:rsidRPr="001D223F">
          <w:rPr>
            <w:rStyle w:val="Hyperlink"/>
            <w:rFonts w:ascii="Calibri" w:hAnsi="Calibri" w:cs="Calibri"/>
            <w:i w:val="0"/>
            <w:iCs w:val="0"/>
            <w:sz w:val="22"/>
            <w:szCs w:val="22"/>
          </w:rPr>
          <w:t>Critical companionship: part 1</w:t>
        </w:r>
      </w:hyperlink>
      <w:r w:rsidRPr="001D223F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. Nursing Standard, 18(9), 33-40.</w:t>
      </w:r>
      <w:r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 </w:t>
      </w:r>
      <w:r w:rsidR="00F72AA3" w:rsidRPr="00F72AA3">
        <w:rPr>
          <w:rFonts w:ascii="Calibri" w:hAnsi="Calibri" w:cs="Calibri"/>
          <w:color w:val="000000" w:themeColor="text1"/>
          <w:sz w:val="22"/>
          <w:szCs w:val="22"/>
        </w:rPr>
        <w:t>(For complete beginners</w:t>
      </w:r>
      <w:r w:rsidR="00F72AA3">
        <w:rPr>
          <w:rFonts w:ascii="Calibri" w:hAnsi="Calibri" w:cs="Calibri"/>
          <w:color w:val="000000" w:themeColor="text1"/>
          <w:sz w:val="22"/>
          <w:szCs w:val="22"/>
        </w:rPr>
        <w:t xml:space="preserve"> and those interested in foundation of critical companionship</w:t>
      </w:r>
      <w:r w:rsidR="00F72AA3" w:rsidRPr="00F72AA3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124158E2" w14:textId="77777777" w:rsidR="001D223F" w:rsidRDefault="001D223F" w:rsidP="001D223F">
      <w:pPr>
        <w:pStyle w:val="Title"/>
        <w:rPr>
          <w:rFonts w:ascii="Calibri" w:hAnsi="Calibri" w:cs="Calibri"/>
          <w:b/>
          <w:sz w:val="22"/>
          <w:szCs w:val="22"/>
        </w:rPr>
      </w:pPr>
    </w:p>
    <w:p w14:paraId="6FFB8707" w14:textId="0D06418F" w:rsidR="001D223F" w:rsidRPr="00F72AA3" w:rsidRDefault="001D223F" w:rsidP="001D223F">
      <w:pPr>
        <w:pStyle w:val="Title"/>
        <w:rPr>
          <w:rFonts w:ascii="Calibri" w:hAnsi="Calibri" w:cs="Calibri"/>
          <w:bCs/>
          <w:i/>
          <w:iCs/>
          <w:sz w:val="22"/>
          <w:szCs w:val="22"/>
        </w:rPr>
      </w:pPr>
      <w:r w:rsidRPr="001D223F">
        <w:rPr>
          <w:rFonts w:ascii="Calibri" w:hAnsi="Calibri" w:cs="Calibri"/>
          <w:bCs/>
          <w:sz w:val="22"/>
          <w:szCs w:val="22"/>
        </w:rPr>
        <w:t xml:space="preserve">Wright J. &amp; Titchen A. (2003) </w:t>
      </w:r>
      <w:hyperlink r:id="rId5" w:history="1">
        <w:r w:rsidRPr="001D223F">
          <w:rPr>
            <w:rStyle w:val="Hyperlink"/>
            <w:rFonts w:ascii="Calibri" w:hAnsi="Calibri" w:cs="Calibri"/>
            <w:bCs/>
            <w:sz w:val="22"/>
            <w:szCs w:val="22"/>
          </w:rPr>
          <w:t>Critical companionship part2</w:t>
        </w:r>
      </w:hyperlink>
      <w:r w:rsidRPr="001D223F">
        <w:rPr>
          <w:rFonts w:ascii="Calibri" w:hAnsi="Calibri" w:cs="Calibri"/>
          <w:bCs/>
          <w:sz w:val="22"/>
          <w:szCs w:val="22"/>
        </w:rPr>
        <w:t>: using the framework.  Nursing Standard 18(10), 33-38.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="00F72AA3" w:rsidRPr="00F72AA3">
        <w:rPr>
          <w:rFonts w:ascii="Calibri" w:hAnsi="Calibri" w:cs="Calibri"/>
          <w:bCs/>
          <w:i/>
          <w:iCs/>
          <w:sz w:val="22"/>
          <w:szCs w:val="22"/>
        </w:rPr>
        <w:t>(For complete beginners</w:t>
      </w:r>
      <w:r w:rsidR="00F72AA3" w:rsidRPr="00F72AA3">
        <w:rPr>
          <w:rFonts w:ascii="Calibri" w:hAnsi="Calibri" w:cs="Calibri"/>
          <w:i/>
          <w:iCs/>
          <w:color w:val="000000" w:themeColor="text1"/>
          <w:sz w:val="22"/>
          <w:szCs w:val="22"/>
        </w:rPr>
        <w:t xml:space="preserve"> and those interested in foundation of critical companionship</w:t>
      </w:r>
      <w:r w:rsidR="00F72AA3" w:rsidRPr="00F72AA3">
        <w:rPr>
          <w:rFonts w:ascii="Calibri" w:hAnsi="Calibri" w:cs="Calibri"/>
          <w:bCs/>
          <w:i/>
          <w:iCs/>
          <w:sz w:val="22"/>
          <w:szCs w:val="22"/>
        </w:rPr>
        <w:t>)</w:t>
      </w:r>
    </w:p>
    <w:p w14:paraId="56CE27A1" w14:textId="77777777" w:rsidR="001D223F" w:rsidRPr="001D223F" w:rsidRDefault="001D223F" w:rsidP="001D223F">
      <w:pPr>
        <w:rPr>
          <w:lang w:eastAsia="en-US"/>
        </w:rPr>
      </w:pPr>
    </w:p>
    <w:p w14:paraId="4DE3E5C4" w14:textId="77777777" w:rsidR="00E4131B" w:rsidRDefault="00E4131B" w:rsidP="00E4131B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Titchen A., McGinley M. (2003) </w:t>
      </w:r>
      <w:hyperlink r:id="rId6" w:history="1">
        <w:r w:rsidRPr="001D223F">
          <w:rPr>
            <w:rStyle w:val="Hyperlink"/>
            <w:rFonts w:ascii="Calibri" w:hAnsi="Calibri" w:cs="Calibri"/>
            <w:sz w:val="22"/>
            <w:szCs w:val="22"/>
          </w:rPr>
          <w:t>Facilitating practitioner-research through critical companionship</w:t>
        </w:r>
      </w:hyperlink>
      <w:r>
        <w:rPr>
          <w:rFonts w:ascii="Calibri" w:hAnsi="Calibri" w:cs="Calibri"/>
          <w:sz w:val="22"/>
          <w:szCs w:val="22"/>
        </w:rPr>
        <w:t xml:space="preserve">.  </w:t>
      </w:r>
      <w:proofErr w:type="spellStart"/>
      <w:r>
        <w:rPr>
          <w:rFonts w:ascii="Calibri" w:hAnsi="Calibri" w:cs="Calibri"/>
          <w:sz w:val="22"/>
          <w:szCs w:val="22"/>
        </w:rPr>
        <w:t>NTResearch</w:t>
      </w:r>
      <w:proofErr w:type="spellEnd"/>
      <w:r>
        <w:rPr>
          <w:rFonts w:ascii="Calibri" w:hAnsi="Calibri" w:cs="Calibri"/>
          <w:sz w:val="22"/>
          <w:szCs w:val="22"/>
        </w:rPr>
        <w:t>, 8(2), 115-131. (</w:t>
      </w:r>
      <w:r>
        <w:rPr>
          <w:rFonts w:ascii="Calibri" w:hAnsi="Calibri" w:cs="Calibri"/>
          <w:i/>
          <w:iCs/>
          <w:sz w:val="22"/>
          <w:szCs w:val="22"/>
        </w:rPr>
        <w:t>Embedded Research domain</w:t>
      </w:r>
      <w:r>
        <w:rPr>
          <w:rFonts w:ascii="Calibri" w:hAnsi="Calibri" w:cs="Calibri"/>
          <w:sz w:val="22"/>
          <w:szCs w:val="22"/>
        </w:rPr>
        <w:t>)</w:t>
      </w:r>
    </w:p>
    <w:p w14:paraId="02002C7B" w14:textId="77777777" w:rsidR="00E4131B" w:rsidRDefault="00E4131B" w:rsidP="00E4131B">
      <w:pPr>
        <w:spacing w:line="240" w:lineRule="exact"/>
        <w:jc w:val="both"/>
        <w:rPr>
          <w:rFonts w:ascii="Calibri" w:hAnsi="Calibri" w:cs="Calibri"/>
          <w:sz w:val="22"/>
          <w:szCs w:val="22"/>
        </w:rPr>
      </w:pPr>
    </w:p>
    <w:p w14:paraId="394D8FD3" w14:textId="77777777" w:rsidR="001D223F" w:rsidRDefault="001D223F" w:rsidP="001D223F">
      <w:pPr>
        <w:rPr>
          <w:rFonts w:ascii="Calibri" w:hAnsi="Calibri" w:cs="Calibri"/>
          <w:sz w:val="22"/>
          <w:szCs w:val="22"/>
          <w:lang w:val="nl-NL"/>
        </w:rPr>
      </w:pPr>
      <w:proofErr w:type="spellStart"/>
      <w:r>
        <w:rPr>
          <w:rFonts w:ascii="Calibri" w:hAnsi="Calibri" w:cs="Calibri"/>
          <w:sz w:val="22"/>
          <w:szCs w:val="22"/>
          <w:lang w:val="nl-NL"/>
        </w:rPr>
        <w:t>Hardiman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 xml:space="preserve"> M. &amp;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Dewing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 xml:space="preserve"> J. (2014) </w:t>
      </w:r>
      <w:r>
        <w:rPr>
          <w:rFonts w:ascii="Calibri" w:hAnsi="Calibri" w:cs="Calibri"/>
          <w:bCs/>
          <w:sz w:val="22"/>
          <w:szCs w:val="22"/>
          <w:lang w:val="nl-NL"/>
        </w:rPr>
        <w:t xml:space="preserve">Critical </w:t>
      </w:r>
      <w:proofErr w:type="spellStart"/>
      <w:r>
        <w:rPr>
          <w:rFonts w:ascii="Calibri" w:hAnsi="Calibri" w:cs="Calibri"/>
          <w:bCs/>
          <w:sz w:val="22"/>
          <w:szCs w:val="22"/>
          <w:lang w:val="nl-NL"/>
        </w:rPr>
        <w:t>Ally</w:t>
      </w:r>
      <w:proofErr w:type="spellEnd"/>
      <w:r>
        <w:rPr>
          <w:rFonts w:ascii="Calibri" w:hAnsi="Calibri" w:cs="Calibri"/>
          <w:bCs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  <w:lang w:val="nl-NL"/>
        </w:rPr>
        <w:t>and</w:t>
      </w:r>
      <w:proofErr w:type="spellEnd"/>
      <w:r>
        <w:rPr>
          <w:rFonts w:ascii="Calibri" w:hAnsi="Calibri" w:cs="Calibri"/>
          <w:bCs/>
          <w:sz w:val="22"/>
          <w:szCs w:val="22"/>
          <w:lang w:val="nl-NL"/>
        </w:rPr>
        <w:t xml:space="preserve"> Critical </w:t>
      </w:r>
      <w:proofErr w:type="spellStart"/>
      <w:r>
        <w:rPr>
          <w:rFonts w:ascii="Calibri" w:hAnsi="Calibri" w:cs="Calibri"/>
          <w:bCs/>
          <w:sz w:val="22"/>
          <w:szCs w:val="22"/>
          <w:lang w:val="nl-NL"/>
        </w:rPr>
        <w:t>Friend</w:t>
      </w:r>
      <w:proofErr w:type="spellEnd"/>
      <w:r>
        <w:rPr>
          <w:rFonts w:ascii="Calibri" w:hAnsi="Calibri" w:cs="Calibri"/>
          <w:bCs/>
          <w:sz w:val="22"/>
          <w:szCs w:val="22"/>
          <w:lang w:val="nl-NL"/>
        </w:rPr>
        <w:t xml:space="preserve">: stepping </w:t>
      </w:r>
      <w:proofErr w:type="spellStart"/>
      <w:r>
        <w:rPr>
          <w:rFonts w:ascii="Calibri" w:hAnsi="Calibri" w:cs="Calibri"/>
          <w:bCs/>
          <w:sz w:val="22"/>
          <w:szCs w:val="22"/>
          <w:lang w:val="nl-NL"/>
        </w:rPr>
        <w:t>stones</w:t>
      </w:r>
      <w:proofErr w:type="spellEnd"/>
      <w:r>
        <w:rPr>
          <w:rFonts w:ascii="Calibri" w:hAnsi="Calibri" w:cs="Calibri"/>
          <w:bCs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  <w:lang w:val="nl-NL"/>
        </w:rPr>
        <w:t>to</w:t>
      </w:r>
      <w:proofErr w:type="spellEnd"/>
      <w:r>
        <w:rPr>
          <w:rFonts w:ascii="Calibri" w:hAnsi="Calibri" w:cs="Calibri"/>
          <w:bCs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  <w:lang w:val="nl-NL"/>
        </w:rPr>
        <w:t>facilitating</w:t>
      </w:r>
      <w:proofErr w:type="spellEnd"/>
      <w:r>
        <w:rPr>
          <w:rFonts w:ascii="Calibri" w:hAnsi="Calibri" w:cs="Calibri"/>
          <w:bCs/>
          <w:sz w:val="22"/>
          <w:szCs w:val="22"/>
          <w:lang w:val="nl-NL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  <w:lang w:val="nl-NL"/>
        </w:rPr>
        <w:t>practice</w:t>
      </w:r>
      <w:proofErr w:type="spellEnd"/>
      <w:r>
        <w:rPr>
          <w:rFonts w:ascii="Calibri" w:hAnsi="Calibri" w:cs="Calibri"/>
          <w:bCs/>
          <w:sz w:val="22"/>
          <w:szCs w:val="22"/>
          <w:lang w:val="nl-NL"/>
        </w:rPr>
        <w:t xml:space="preserve"> development, </w:t>
      </w:r>
      <w:r>
        <w:rPr>
          <w:rFonts w:ascii="Calibri" w:hAnsi="Calibri" w:cs="Calibri"/>
          <w:bCs/>
          <w:i/>
          <w:sz w:val="22"/>
          <w:szCs w:val="22"/>
          <w:lang w:val="nl-NL"/>
        </w:rPr>
        <w:t xml:space="preserve">International </w:t>
      </w:r>
      <w:proofErr w:type="spellStart"/>
      <w:r>
        <w:rPr>
          <w:rFonts w:ascii="Calibri" w:hAnsi="Calibri" w:cs="Calibri"/>
          <w:bCs/>
          <w:i/>
          <w:sz w:val="22"/>
          <w:szCs w:val="22"/>
          <w:lang w:val="nl-NL"/>
        </w:rPr>
        <w:t>Practice</w:t>
      </w:r>
      <w:proofErr w:type="spellEnd"/>
      <w:r>
        <w:rPr>
          <w:rFonts w:ascii="Calibri" w:hAnsi="Calibri" w:cs="Calibri"/>
          <w:bCs/>
          <w:i/>
          <w:sz w:val="22"/>
          <w:szCs w:val="22"/>
          <w:lang w:val="nl-NL"/>
        </w:rPr>
        <w:t xml:space="preserve"> Development Journal</w:t>
      </w:r>
      <w:r>
        <w:rPr>
          <w:rFonts w:ascii="Calibri" w:hAnsi="Calibri" w:cs="Calibri"/>
          <w:bCs/>
          <w:sz w:val="22"/>
          <w:szCs w:val="22"/>
          <w:lang w:val="nl-NL"/>
        </w:rPr>
        <w:t>, 4 (1) [3],</w:t>
      </w:r>
      <w:r>
        <w:rPr>
          <w:rFonts w:ascii="Calibri" w:hAnsi="Calibri" w:cs="Calibri"/>
          <w:b/>
          <w:bCs/>
          <w:sz w:val="22"/>
          <w:szCs w:val="22"/>
          <w:lang w:val="nl-NL"/>
        </w:rPr>
        <w:t xml:space="preserve"> </w:t>
      </w:r>
      <w:hyperlink r:id="rId7" w:history="1">
        <w:r>
          <w:rPr>
            <w:rStyle w:val="Hyperlink"/>
            <w:rFonts w:ascii="Calibri" w:eastAsiaTheme="majorEastAsia" w:hAnsi="Calibri" w:cs="Calibri"/>
            <w:sz w:val="22"/>
            <w:szCs w:val="22"/>
            <w:lang w:val="nl-NL"/>
          </w:rPr>
          <w:t>https://www.fons.org/Resources/Documents/Journal/Vol4No1/IPDJ_0401_03.pdf</w:t>
        </w:r>
      </w:hyperlink>
    </w:p>
    <w:p w14:paraId="7FDA885E" w14:textId="77777777" w:rsidR="00E4131B" w:rsidRPr="00567FD0" w:rsidRDefault="00E4131B" w:rsidP="001D223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6D64F7BE" w14:textId="5B6B9416" w:rsidR="003549F4" w:rsidRDefault="003549F4" w:rsidP="003549F4">
      <w:pPr>
        <w:pStyle w:val="BodyText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Titchen A. (2004) ‘Helping Relationships for Practice Development: Critical Companionship’, in Practice Development in Nursing, eds. </w:t>
      </w:r>
      <w:r w:rsidR="00567FD0">
        <w:rPr>
          <w:rFonts w:ascii="Calibri" w:hAnsi="Calibri" w:cs="Calibri"/>
          <w:sz w:val="22"/>
          <w:szCs w:val="22"/>
        </w:rPr>
        <w:t>McCormack</w:t>
      </w:r>
      <w:r>
        <w:rPr>
          <w:rFonts w:ascii="Calibri" w:hAnsi="Calibri" w:cs="Calibri"/>
          <w:sz w:val="22"/>
          <w:szCs w:val="22"/>
        </w:rPr>
        <w:t>,</w:t>
      </w:r>
      <w:r w:rsidR="00567FD0">
        <w:rPr>
          <w:rFonts w:ascii="Calibri" w:hAnsi="Calibri" w:cs="Calibri"/>
          <w:sz w:val="22"/>
          <w:szCs w:val="22"/>
        </w:rPr>
        <w:t xml:space="preserve"> B</w:t>
      </w:r>
      <w:r>
        <w:rPr>
          <w:rFonts w:ascii="Calibri" w:hAnsi="Calibri" w:cs="Calibri"/>
          <w:sz w:val="22"/>
          <w:szCs w:val="22"/>
        </w:rPr>
        <w:t xml:space="preserve">. </w:t>
      </w:r>
      <w:r w:rsidR="00567FD0">
        <w:rPr>
          <w:rFonts w:ascii="Calibri" w:hAnsi="Calibri" w:cs="Calibri"/>
          <w:sz w:val="22"/>
          <w:szCs w:val="22"/>
        </w:rPr>
        <w:t>Manley</w:t>
      </w:r>
      <w:r>
        <w:rPr>
          <w:rFonts w:ascii="Calibri" w:hAnsi="Calibri" w:cs="Calibri"/>
          <w:sz w:val="22"/>
          <w:szCs w:val="22"/>
        </w:rPr>
        <w:t xml:space="preserve"> </w:t>
      </w:r>
      <w:r w:rsidR="00567FD0">
        <w:rPr>
          <w:rFonts w:ascii="Calibri" w:hAnsi="Calibri" w:cs="Calibri"/>
          <w:sz w:val="22"/>
          <w:szCs w:val="22"/>
        </w:rPr>
        <w:t>K.</w:t>
      </w:r>
      <w:r>
        <w:rPr>
          <w:rFonts w:ascii="Calibri" w:hAnsi="Calibri" w:cs="Calibri"/>
          <w:sz w:val="22"/>
          <w:szCs w:val="22"/>
        </w:rPr>
        <w:t xml:space="preserve"> &amp; Garbett</w:t>
      </w:r>
      <w:r w:rsidR="00567FD0">
        <w:rPr>
          <w:rFonts w:ascii="Calibri" w:hAnsi="Calibri" w:cs="Calibri"/>
          <w:sz w:val="22"/>
          <w:szCs w:val="22"/>
        </w:rPr>
        <w:t xml:space="preserve"> R</w:t>
      </w:r>
      <w:r>
        <w:rPr>
          <w:rFonts w:ascii="Calibri" w:hAnsi="Calibri" w:cs="Calibri"/>
          <w:sz w:val="22"/>
          <w:szCs w:val="22"/>
        </w:rPr>
        <w:t xml:space="preserve">, Blackwell Publishing, Oxford, pp.148-174. </w:t>
      </w:r>
      <w:r>
        <w:rPr>
          <w:rFonts w:ascii="Calibri" w:hAnsi="Calibri" w:cs="Calibri"/>
          <w:i/>
          <w:iCs/>
          <w:sz w:val="22"/>
          <w:szCs w:val="22"/>
        </w:rPr>
        <w:t xml:space="preserve">(Relevant whatever health or social care profession you work in for helping people learn in and from </w:t>
      </w:r>
      <w:r w:rsidR="00567FD0">
        <w:rPr>
          <w:rFonts w:ascii="Calibri" w:hAnsi="Calibri" w:cs="Calibri"/>
          <w:i/>
          <w:iCs/>
          <w:sz w:val="22"/>
          <w:szCs w:val="22"/>
        </w:rPr>
        <w:t>practice)</w:t>
      </w:r>
    </w:p>
    <w:p w14:paraId="36CC60F5" w14:textId="77777777" w:rsidR="003549F4" w:rsidRDefault="003549F4" w:rsidP="003549F4">
      <w:pPr>
        <w:spacing w:line="240" w:lineRule="exact"/>
        <w:rPr>
          <w:rFonts w:ascii="Calibri" w:hAnsi="Calibri" w:cs="Calibri"/>
          <w:sz w:val="22"/>
          <w:szCs w:val="22"/>
        </w:rPr>
      </w:pPr>
    </w:p>
    <w:p w14:paraId="3BC0A0C0" w14:textId="67E3C774" w:rsidR="001D223F" w:rsidRDefault="001D223F" w:rsidP="001D223F">
      <w:pPr>
        <w:rPr>
          <w:rFonts w:ascii="Calibri" w:hAnsi="Calibri" w:cs="Calibri"/>
          <w:i/>
          <w:iCs/>
          <w:sz w:val="22"/>
          <w:szCs w:val="22"/>
          <w:lang w:val="en-US" w:eastAsia="nl-NL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nl-NL"/>
        </w:rPr>
        <w:t>Titchen</w:t>
      </w:r>
      <w:proofErr w:type="spellEnd"/>
      <w:r>
        <w:rPr>
          <w:rFonts w:ascii="Calibri" w:hAnsi="Calibri" w:cs="Calibri"/>
          <w:sz w:val="22"/>
          <w:szCs w:val="22"/>
          <w:lang w:val="en-US" w:eastAsia="nl-NL"/>
        </w:rPr>
        <w:t xml:space="preserve"> A. &amp; Tasker D. (2017) Critical companionship: Nurturing mindful dialogues </w:t>
      </w:r>
      <w:proofErr w:type="gramStart"/>
      <w:r>
        <w:rPr>
          <w:rFonts w:ascii="Calibri" w:hAnsi="Calibri" w:cs="Calibri"/>
          <w:sz w:val="22"/>
          <w:szCs w:val="22"/>
          <w:lang w:val="en-US" w:eastAsia="nl-NL"/>
        </w:rPr>
        <w:t>in the midst of</w:t>
      </w:r>
      <w:proofErr w:type="gramEnd"/>
      <w:r>
        <w:rPr>
          <w:rFonts w:ascii="Calibri" w:hAnsi="Calibri" w:cs="Calibri"/>
          <w:sz w:val="22"/>
          <w:szCs w:val="22"/>
          <w:lang w:val="en-US" w:eastAsia="nl-NL"/>
        </w:rPr>
        <w:t xml:space="preserve"> practice. In D. Tasker et al (Eds) Community-Based Healthcare: The Search for Mindful Dialogues. Rotterdam: Sense Publishers. </w:t>
      </w:r>
      <w:r>
        <w:rPr>
          <w:rFonts w:ascii="Calibri" w:hAnsi="Calibri" w:cs="Calibri"/>
          <w:i/>
          <w:iCs/>
          <w:sz w:val="22"/>
          <w:szCs w:val="22"/>
          <w:lang w:val="en-US" w:eastAsia="nl-NL"/>
        </w:rPr>
        <w:t xml:space="preserve">(Focusses on Learning, Improving, </w:t>
      </w:r>
      <w:proofErr w:type="gramStart"/>
      <w:r>
        <w:rPr>
          <w:rFonts w:ascii="Calibri" w:hAnsi="Calibri" w:cs="Calibri"/>
          <w:i/>
          <w:iCs/>
          <w:sz w:val="22"/>
          <w:szCs w:val="22"/>
          <w:lang w:val="en-US" w:eastAsia="nl-NL"/>
        </w:rPr>
        <w:t>Developing</w:t>
      </w:r>
      <w:proofErr w:type="gramEnd"/>
      <w:r>
        <w:rPr>
          <w:rFonts w:ascii="Calibri" w:hAnsi="Calibri" w:cs="Calibri"/>
          <w:i/>
          <w:iCs/>
          <w:sz w:val="22"/>
          <w:szCs w:val="22"/>
          <w:lang w:val="en-US" w:eastAsia="nl-NL"/>
        </w:rPr>
        <w:t xml:space="preserve"> domain, using a community physiotherapy illustration)</w:t>
      </w:r>
    </w:p>
    <w:p w14:paraId="0FC57D34" w14:textId="77777777" w:rsidR="00E4131B" w:rsidRPr="00E4131B" w:rsidRDefault="00E4131B" w:rsidP="001D223F">
      <w:pPr>
        <w:rPr>
          <w:rFonts w:ascii="Calibri" w:hAnsi="Calibri" w:cs="Calibri"/>
          <w:sz w:val="22"/>
          <w:szCs w:val="22"/>
          <w:lang w:val="en-US" w:eastAsia="nl-NL"/>
        </w:rPr>
      </w:pPr>
    </w:p>
    <w:p w14:paraId="0AE9EBDC" w14:textId="77777777" w:rsidR="00E4131B" w:rsidRDefault="00E4131B" w:rsidP="00E4131B">
      <w:pPr>
        <w:pStyle w:val="Heading4"/>
        <w:rPr>
          <w:rFonts w:ascii="Calibri" w:hAnsi="Calibri" w:cs="Calibri"/>
          <w:color w:val="000000"/>
          <w:sz w:val="22"/>
          <w:szCs w:val="22"/>
        </w:rPr>
      </w:pPr>
      <w:r w:rsidRPr="00E4131B">
        <w:rPr>
          <w:rFonts w:ascii="Calibri" w:hAnsi="Calibri" w:cs="Calibri"/>
          <w:i w:val="0"/>
          <w:iCs w:val="0"/>
          <w:color w:val="000000"/>
          <w:sz w:val="22"/>
          <w:szCs w:val="22"/>
        </w:rPr>
        <w:t xml:space="preserve">McCance T. &amp; McCormack B. (2017) The Person-centred Practice Framework. In </w:t>
      </w:r>
      <w:r w:rsidRPr="00E4131B">
        <w:rPr>
          <w:rFonts w:ascii="Calibri" w:hAnsi="Calibri" w:cs="Calibri"/>
          <w:i w:val="0"/>
          <w:iCs w:val="0"/>
          <w:color w:val="000000" w:themeColor="text1"/>
          <w:sz w:val="22"/>
          <w:szCs w:val="22"/>
          <w:lang w:val="en-US" w:eastAsia="nl-NL"/>
        </w:rPr>
        <w:t>McCormack B. &amp; McCance T. (Eds), Person-</w:t>
      </w:r>
      <w:proofErr w:type="spellStart"/>
      <w:r w:rsidRPr="00E4131B">
        <w:rPr>
          <w:rFonts w:ascii="Calibri" w:hAnsi="Calibri" w:cs="Calibri"/>
          <w:i w:val="0"/>
          <w:iCs w:val="0"/>
          <w:color w:val="000000" w:themeColor="text1"/>
          <w:sz w:val="22"/>
          <w:szCs w:val="22"/>
          <w:lang w:val="en-US" w:eastAsia="nl-NL"/>
        </w:rPr>
        <w:t>Centred</w:t>
      </w:r>
      <w:proofErr w:type="spellEnd"/>
      <w:r w:rsidRPr="00E4131B">
        <w:rPr>
          <w:rFonts w:ascii="Calibri" w:hAnsi="Calibri" w:cs="Calibri"/>
          <w:i w:val="0"/>
          <w:iCs w:val="0"/>
          <w:color w:val="000000" w:themeColor="text1"/>
          <w:sz w:val="22"/>
          <w:szCs w:val="22"/>
          <w:lang w:val="en-US" w:eastAsia="nl-NL"/>
        </w:rPr>
        <w:t xml:space="preserve"> Nursing – Theory and Practice. Oxford: Wiley-Blackwell, pp 36 – 64.</w:t>
      </w:r>
      <w:r w:rsidRPr="00E4131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E4131B">
        <w:rPr>
          <w:rFonts w:ascii="Calibri" w:hAnsi="Calibri" w:cs="Calibri"/>
          <w:color w:val="000000"/>
          <w:sz w:val="22"/>
          <w:szCs w:val="22"/>
        </w:rPr>
        <w:t>(Recommended for Domain 1: Building on Expert Person-centred Practice through Critical Companionship)</w:t>
      </w:r>
    </w:p>
    <w:p w14:paraId="4B0A10FE" w14:textId="77777777" w:rsidR="00E4131B" w:rsidRPr="007A01E0" w:rsidRDefault="00E4131B" w:rsidP="00E4131B"/>
    <w:p w14:paraId="6F865CC7" w14:textId="5E2D8315" w:rsidR="00E4131B" w:rsidRPr="00567FD0" w:rsidRDefault="00E4131B" w:rsidP="00E4131B">
      <w:pPr>
        <w:pStyle w:val="Heading4"/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</w:pPr>
      <w:r w:rsidRPr="00567FD0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McCormack </w:t>
      </w:r>
      <w:r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B. </w:t>
      </w:r>
      <w:r w:rsidRPr="00567FD0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&amp; McCance </w:t>
      </w:r>
      <w:r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T </w:t>
      </w:r>
      <w:r w:rsidRPr="00567FD0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(Eds), </w:t>
      </w:r>
      <w:r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(2017) </w:t>
      </w:r>
      <w:r w:rsidRPr="00567FD0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>Person-Centred Practice in Nursing and Health Care – Theory and Practice. Oxford: Wiley-Blackwell</w:t>
      </w:r>
      <w:r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 </w:t>
      </w:r>
      <w:r w:rsidRPr="00567FD0">
        <w:rPr>
          <w:rFonts w:ascii="Calibri" w:hAnsi="Calibri" w:cs="Calibri"/>
          <w:color w:val="000000" w:themeColor="text1"/>
          <w:sz w:val="22"/>
          <w:szCs w:val="22"/>
        </w:rPr>
        <w:t>(Recommended for Domain 1: Building on Expert Person-centred Practice through Critical Companionship</w:t>
      </w:r>
      <w:r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7CF5ADCA" w14:textId="77777777" w:rsidR="00E4131B" w:rsidRDefault="00E4131B" w:rsidP="001D223F">
      <w:pPr>
        <w:rPr>
          <w:rFonts w:ascii="Calibri" w:hAnsi="Calibri" w:cs="Calibri"/>
          <w:sz w:val="22"/>
          <w:szCs w:val="22"/>
          <w:lang w:val="en-US" w:eastAsia="nl-NL"/>
        </w:rPr>
      </w:pPr>
    </w:p>
    <w:p w14:paraId="60BE0848" w14:textId="17838865" w:rsidR="001D223F" w:rsidRDefault="001D223F" w:rsidP="001D223F">
      <w:pPr>
        <w:rPr>
          <w:rFonts w:ascii="Calibri" w:hAnsi="Calibri" w:cs="Calibri"/>
          <w:i/>
          <w:iCs/>
          <w:sz w:val="22"/>
          <w:szCs w:val="22"/>
          <w:lang w:val="en-US" w:eastAsia="nl-NL"/>
        </w:rPr>
      </w:pPr>
      <w:proofErr w:type="spellStart"/>
      <w:r>
        <w:rPr>
          <w:rFonts w:ascii="Calibri" w:hAnsi="Calibri" w:cs="Calibri"/>
          <w:sz w:val="22"/>
          <w:szCs w:val="22"/>
          <w:lang w:val="en-US" w:eastAsia="nl-NL"/>
        </w:rPr>
        <w:t>Titchen</w:t>
      </w:r>
      <w:proofErr w:type="spellEnd"/>
      <w:r>
        <w:rPr>
          <w:rFonts w:ascii="Calibri" w:hAnsi="Calibri" w:cs="Calibri"/>
          <w:sz w:val="22"/>
          <w:szCs w:val="22"/>
          <w:lang w:val="en-US" w:eastAsia="nl-NL"/>
        </w:rPr>
        <w:t xml:space="preserve"> A. &amp; Hammond K. (2017) Helping health-care practitioners to flourish: critical companionship at work. In </w:t>
      </w:r>
      <w:r w:rsidR="00567FD0">
        <w:rPr>
          <w:rFonts w:ascii="Calibri" w:hAnsi="Calibri" w:cs="Calibri"/>
          <w:sz w:val="22"/>
          <w:szCs w:val="22"/>
          <w:lang w:val="en-US" w:eastAsia="nl-NL"/>
        </w:rPr>
        <w:t>McCormack</w:t>
      </w:r>
      <w:r>
        <w:rPr>
          <w:rFonts w:ascii="Calibri" w:hAnsi="Calibri" w:cs="Calibri"/>
          <w:sz w:val="22"/>
          <w:szCs w:val="22"/>
          <w:lang w:val="en-US" w:eastAsia="nl-NL"/>
        </w:rPr>
        <w:t xml:space="preserve"> </w:t>
      </w:r>
      <w:r w:rsidR="00567FD0">
        <w:rPr>
          <w:rFonts w:ascii="Calibri" w:hAnsi="Calibri" w:cs="Calibri"/>
          <w:sz w:val="22"/>
          <w:szCs w:val="22"/>
          <w:lang w:val="en-US" w:eastAsia="nl-NL"/>
        </w:rPr>
        <w:t xml:space="preserve">B. </w:t>
      </w:r>
      <w:r>
        <w:rPr>
          <w:rFonts w:ascii="Calibri" w:hAnsi="Calibri" w:cs="Calibri"/>
          <w:sz w:val="22"/>
          <w:szCs w:val="22"/>
          <w:lang w:val="en-US" w:eastAsia="nl-NL"/>
        </w:rPr>
        <w:t xml:space="preserve">&amp; </w:t>
      </w:r>
      <w:r w:rsidR="00567FD0">
        <w:rPr>
          <w:rFonts w:ascii="Calibri" w:hAnsi="Calibri" w:cs="Calibri"/>
          <w:sz w:val="22"/>
          <w:szCs w:val="22"/>
          <w:lang w:val="en-US" w:eastAsia="nl-NL"/>
        </w:rPr>
        <w:t>McCance</w:t>
      </w:r>
      <w:r>
        <w:rPr>
          <w:rFonts w:ascii="Calibri" w:hAnsi="Calibri" w:cs="Calibri"/>
          <w:sz w:val="22"/>
          <w:szCs w:val="22"/>
          <w:lang w:val="en-US" w:eastAsia="nl-NL"/>
        </w:rPr>
        <w:t xml:space="preserve"> </w:t>
      </w:r>
      <w:r w:rsidR="00567FD0">
        <w:rPr>
          <w:rFonts w:ascii="Calibri" w:hAnsi="Calibri" w:cs="Calibri"/>
          <w:sz w:val="22"/>
          <w:szCs w:val="22"/>
          <w:lang w:val="en-US" w:eastAsia="nl-NL"/>
        </w:rPr>
        <w:t xml:space="preserve">T. </w:t>
      </w:r>
      <w:r>
        <w:rPr>
          <w:rFonts w:ascii="Calibri" w:hAnsi="Calibri" w:cs="Calibri"/>
          <w:sz w:val="22"/>
          <w:szCs w:val="22"/>
          <w:lang w:val="en-US" w:eastAsia="nl-NL"/>
        </w:rPr>
        <w:t>(Eds</w:t>
      </w:r>
      <w:proofErr w:type="gramStart"/>
      <w:r>
        <w:rPr>
          <w:rFonts w:ascii="Calibri" w:hAnsi="Calibri" w:cs="Calibri"/>
          <w:sz w:val="22"/>
          <w:szCs w:val="22"/>
          <w:lang w:val="en-US" w:eastAsia="nl-NL"/>
        </w:rPr>
        <w:t>),  Person</w:t>
      </w:r>
      <w:proofErr w:type="gramEnd"/>
      <w:r>
        <w:rPr>
          <w:rFonts w:ascii="Calibri" w:hAnsi="Calibri" w:cs="Calibri"/>
          <w:sz w:val="22"/>
          <w:szCs w:val="22"/>
          <w:lang w:val="en-US" w:eastAsia="nl-NL"/>
        </w:rPr>
        <w:t>-</w:t>
      </w:r>
      <w:proofErr w:type="spellStart"/>
      <w:r>
        <w:rPr>
          <w:rFonts w:ascii="Calibri" w:hAnsi="Calibri" w:cs="Calibri"/>
          <w:sz w:val="22"/>
          <w:szCs w:val="22"/>
          <w:lang w:val="en-US" w:eastAsia="nl-NL"/>
        </w:rPr>
        <w:t>centred</w:t>
      </w:r>
      <w:proofErr w:type="spellEnd"/>
      <w:r>
        <w:rPr>
          <w:rFonts w:ascii="Calibri" w:hAnsi="Calibri" w:cs="Calibri"/>
          <w:sz w:val="22"/>
          <w:szCs w:val="22"/>
          <w:lang w:val="en-US" w:eastAsia="nl-NL"/>
        </w:rPr>
        <w:t xml:space="preserve"> Nursing – Theory and Practice. Oxford: Wiley-Blackwell, pp 162-171. (</w:t>
      </w:r>
      <w:r>
        <w:rPr>
          <w:rFonts w:ascii="Calibri" w:hAnsi="Calibri" w:cs="Calibri"/>
          <w:i/>
          <w:iCs/>
          <w:sz w:val="22"/>
          <w:szCs w:val="22"/>
          <w:lang w:val="en-US" w:eastAsia="nl-NL"/>
        </w:rPr>
        <w:t xml:space="preserve">Focusses on Learning, Improving, </w:t>
      </w:r>
      <w:proofErr w:type="gramStart"/>
      <w:r>
        <w:rPr>
          <w:rFonts w:ascii="Calibri" w:hAnsi="Calibri" w:cs="Calibri"/>
          <w:i/>
          <w:iCs/>
          <w:sz w:val="22"/>
          <w:szCs w:val="22"/>
          <w:lang w:val="en-US" w:eastAsia="nl-NL"/>
        </w:rPr>
        <w:t>Developing</w:t>
      </w:r>
      <w:proofErr w:type="gramEnd"/>
      <w:r>
        <w:rPr>
          <w:rFonts w:ascii="Calibri" w:hAnsi="Calibri" w:cs="Calibri"/>
          <w:i/>
          <w:iCs/>
          <w:sz w:val="22"/>
          <w:szCs w:val="22"/>
          <w:lang w:val="en-US" w:eastAsia="nl-NL"/>
        </w:rPr>
        <w:t xml:space="preserve"> domain in relation to Strategic and Enabling Leadership domain)</w:t>
      </w:r>
    </w:p>
    <w:p w14:paraId="6DB5761E" w14:textId="77777777" w:rsidR="001D223F" w:rsidRDefault="001D223F" w:rsidP="001D223F">
      <w:pPr>
        <w:rPr>
          <w:rFonts w:ascii="Calibri" w:hAnsi="Calibri" w:cs="Calibri"/>
          <w:sz w:val="22"/>
          <w:szCs w:val="22"/>
          <w:lang w:val="nl-NL"/>
        </w:rPr>
      </w:pPr>
    </w:p>
    <w:p w14:paraId="159F47EB" w14:textId="77777777" w:rsidR="00C30D81" w:rsidRDefault="00C30D81"/>
    <w:sectPr w:rsidR="00C30D81" w:rsidSect="00BE1D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F4"/>
    <w:rsid w:val="001D223F"/>
    <w:rsid w:val="00213E46"/>
    <w:rsid w:val="002763DB"/>
    <w:rsid w:val="00297075"/>
    <w:rsid w:val="002D2825"/>
    <w:rsid w:val="003549F4"/>
    <w:rsid w:val="00462181"/>
    <w:rsid w:val="004D6A2D"/>
    <w:rsid w:val="005444C7"/>
    <w:rsid w:val="00567FD0"/>
    <w:rsid w:val="00631E81"/>
    <w:rsid w:val="007D6FDD"/>
    <w:rsid w:val="0084329E"/>
    <w:rsid w:val="00BE1D8A"/>
    <w:rsid w:val="00C30D81"/>
    <w:rsid w:val="00E4131B"/>
    <w:rsid w:val="00E46F5C"/>
    <w:rsid w:val="00EC0AC5"/>
    <w:rsid w:val="00EE6006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0572E"/>
  <w15:chartTrackingRefBased/>
  <w15:docId w15:val="{38FDA706-4443-EE43-80CD-5112FB1A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9F4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4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9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nhideWhenUsed/>
    <w:qFormat/>
    <w:rsid w:val="003549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9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9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9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9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9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549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5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9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5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9F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54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9F4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54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9F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549F4"/>
    <w:pPr>
      <w:spacing w:line="240" w:lineRule="exact"/>
      <w:jc w:val="both"/>
    </w:pPr>
    <w:rPr>
      <w:rFonts w:ascii="Tms Rmn" w:hAnsi="Tms Rmn"/>
      <w:sz w:val="24"/>
    </w:rPr>
  </w:style>
  <w:style w:type="character" w:customStyle="1" w:styleId="BodyTextChar">
    <w:name w:val="Body Text Char"/>
    <w:basedOn w:val="DefaultParagraphFont"/>
    <w:link w:val="BodyText"/>
    <w:rsid w:val="003549F4"/>
    <w:rPr>
      <w:rFonts w:ascii="Tms Rmn" w:eastAsia="Times New Roman" w:hAnsi="Tms Rmn" w:cs="Times New Roman"/>
      <w:kern w:val="0"/>
      <w:szCs w:val="20"/>
      <w:lang w:eastAsia="en-GB"/>
      <w14:ligatures w14:val="none"/>
    </w:rPr>
  </w:style>
  <w:style w:type="character" w:styleId="Hyperlink">
    <w:name w:val="Hyperlink"/>
    <w:uiPriority w:val="99"/>
    <w:rsid w:val="001D22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223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2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ons.org/Resources/Documents/Journal/Vol4No1/IPDJ_0401_0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.sagepub.com/doi/10.1177/136140960300800205" TargetMode="External"/><Relationship Id="rId5" Type="http://schemas.openxmlformats.org/officeDocument/2006/relationships/hyperlink" Target="https://journals.rcni.com/nursing-standard/critical-companionship-part-2-using-the-framework-ns2003.11.18.10.33.c3506" TargetMode="External"/><Relationship Id="rId4" Type="http://schemas.openxmlformats.org/officeDocument/2006/relationships/hyperlink" Target="https://journals.rcni.com/doi/abs/10.7748/ns2003.11.18.9.33.c350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Titchen</dc:creator>
  <cp:keywords/>
  <dc:description/>
  <cp:lastModifiedBy>Angie Titchen Titchen</cp:lastModifiedBy>
  <cp:revision>3</cp:revision>
  <dcterms:created xsi:type="dcterms:W3CDTF">2024-12-01T12:57:00Z</dcterms:created>
  <dcterms:modified xsi:type="dcterms:W3CDTF">2024-12-02T13:40:00Z</dcterms:modified>
</cp:coreProperties>
</file>